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7F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ОБЗОР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СОДЕРЖАНИЯ 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ЖУРНА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ЛА</w:t>
      </w:r>
    </w:p>
    <w:p w:rsidR="0027667F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«</w:t>
      </w:r>
      <w:bookmarkStart w:id="0" w:name="_GoBack"/>
      <w:r w:rsidR="00D36F72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Патенты и лицензии. Интеллектуальные права</w:t>
      </w:r>
      <w:bookmarkEnd w:id="0"/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»</w:t>
      </w:r>
    </w:p>
    <w:p w:rsidR="00EB61A6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>№№ 1-</w:t>
      </w:r>
      <w:r w:rsidR="00705C26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/ 2019 ГОД</w:t>
      </w:r>
    </w:p>
    <w:p w:rsidR="0027667F" w:rsidRPr="00EB61A6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</w:p>
    <w:p w:rsidR="00EB61A6" w:rsidRPr="00EB61A6" w:rsidRDefault="00EB61A6" w:rsidP="00EB61A6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EB61A6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1, 2019</w:t>
      </w:r>
    </w:p>
    <w:p w:rsidR="00EB61A6" w:rsidRPr="00EB61A6" w:rsidRDefault="00705C2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noProof/>
          <w:color w:val="800000"/>
          <w:lang w:eastAsia="ru-RU"/>
        </w:rPr>
        <w:drawing>
          <wp:inline distT="0" distB="0" distL="0" distR="0" wp14:anchorId="2887922F" wp14:editId="7F8C2436">
            <wp:extent cx="1400175" cy="1924050"/>
            <wp:effectExtent l="0" t="0" r="9525" b="0"/>
            <wp:docPr id="1" name="Рисунок 1" descr="N1_201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1_201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824D4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Управление интеллектуальной собственностью</w:t>
      </w:r>
    </w:p>
    <w:p w:rsidR="00824D48" w:rsidRPr="00D36F72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Пятый антимонопольный пакет и охрана интеллектуальной собственности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824D4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2</w:t>
      </w:r>
      <w:r w:rsidR="00925F5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.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="00925F52">
        <w:rPr>
          <w:rFonts w:ascii="Arial" w:eastAsia="Times New Roman" w:hAnsi="Arial" w:cs="Arial"/>
          <w:sz w:val="20"/>
          <w:szCs w:val="20"/>
          <w:lang w:eastAsia="ru-RU"/>
        </w:rPr>
        <w:t xml:space="preserve">       В 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статье 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Д.И.Серегина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канд.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. наук, доцента кафедры конкурентного права Московского государственного юридического университета им.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О.Е.Кутафина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, патентного поверенного, советника юридической фирмы «ЮСТ», проводится анализ законопроекта, предложенного ФАС России, цель которого – отмена исключений для применения антимонопольного законодательства к интеллектуальной собственности. 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исследуются различные точки зрения на проблему соотношения требований антимонопольного законодательства с положениями законодательства об интеллектуальной собственности. На основе проведенного анализа автор приходит к выводу об отсутствии противоречий между указанными отраслями, поскольку их общими целями являются поощрение инноваций и усиление конкурентной борьбы. 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824D48" w:rsidRPr="00824D48" w:rsidRDefault="00824D48" w:rsidP="00824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Компенсация и убытки: соотношение институтов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824D4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13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продолжение дискуссии о проблемах законодательства о компенсации, которой была посвящена статья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О.А.Рузаковой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«Функции ответственности за нарушение исключительного права на товарный знак», в 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данной статье 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О.А.Рузаковой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докт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. наук, проф. Финансового университета при Правительстве Российской Федерации, проф. кафедры международного частного и гражданского права МГИМО МИД России и 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А.И.Пирогова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докт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>. хим. наук, проф. Ивановского государственного энергетического университета, рассматриваются соотношение компенсации за нарушение исключительного права с убытками и перспективы развития законодательства о различных видах компенсаций за нарушение исключительного права.     </w:t>
      </w:r>
    </w:p>
    <w:p w:rsidR="00824D48" w:rsidRPr="00824D48" w:rsidRDefault="00824D48" w:rsidP="00824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bookmarkStart w:id="1" w:name="ohr"/>
      <w:bookmarkEnd w:id="1"/>
      <w:r w:rsidRPr="00824D4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Охрана интеллектуальной собственности</w:t>
      </w:r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Развитие права интеллектуальной собственности в России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824D4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21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1–2 ноября 2018 г. в технопарке «Сколково» прошла патентная школа, на которой выступил профессор-исследователь факультета права Национального исследовательского университета Высшая школа экономики,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докт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. наук 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Э.П.Гаврилов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. Он проанализировал развитие права интеллектуальной собственности в России с сентября 2017 г. по октябрь 2018 г. </w:t>
      </w:r>
    </w:p>
    <w:p w:rsidR="00824D48" w:rsidRPr="00824D48" w:rsidRDefault="00824D48" w:rsidP="00824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824D48" w:rsidRPr="00824D48" w:rsidRDefault="00824D48" w:rsidP="008D4C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Столкновение патентов: судебное толкование рекомендаций из письма президиума ВАС РФ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824D4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26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>      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В.Ю.Джермакян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канд.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техн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>. наук, вновь возвращается к теме, инициированной в свое время рекомендациями президиума Высшего арбитражного суда Российской Федерации по поводу принципа разрешения коллизии при столкновении двух патентов на полезные модели.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</w:r>
      <w:bookmarkStart w:id="2" w:name="av_pr"/>
      <w:bookmarkEnd w:id="2"/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824D4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Авторское право</w:t>
      </w:r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Правовой режим постановки спектакля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824D4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31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С.Б.Кокиной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канд.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>. наук, доцента департамента дисциплин частного права факультета права Национального исследовательского университета Высшая школа экономики, исследуются вопросы правовой охраны театральных постановок и статуса режиссера-постановщика как обладателя смежного права на постановку, урегулированные в четвертой части ГК РФ. Обосновывается необходимость авторско-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правовой охраны прав режиссеров – постановщиков спектаклей. Изучаются различные способы авторско-правовой охраны театральных постановок.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24D4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  </w:t>
      </w:r>
    </w:p>
    <w:p w:rsidR="00824D48" w:rsidRPr="00824D48" w:rsidRDefault="00824D48" w:rsidP="00824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Проблемы представления отчетности в Пенсионный фонд РФ по лицензионным договорам с авторами произведений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824D4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42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>       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А.С.Зверева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юрисконсульт Всероссийской общественной организации «Союз композиторов России», исследует коллизионные вопросы действующего законодательства об индивидуальном (персонифицированном) учете в системе обязательного пенсионного страхования применительно к представлению отчетности по лицензионным договорам, заключенным редакциями средств массовой информации, выступающими лицензиатами в рассматриваемой ситуации в отношении авторов публикуемых статей, являющихся лицензиарами. Предложены модели договорных взаимоотношений с авторами, исключающие нарушение лицензиатами-страхователями действующего законодательства.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24D4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</w:t>
      </w:r>
    </w:p>
    <w:p w:rsidR="00824D48" w:rsidRPr="00824D48" w:rsidRDefault="00824D48" w:rsidP="00824D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*  *  *</w:t>
      </w:r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bookmarkStart w:id="3" w:name="in"/>
      <w:bookmarkEnd w:id="3"/>
      <w:r w:rsidRPr="00824D4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Инновации и экономика</w:t>
      </w:r>
    </w:p>
    <w:p w:rsidR="00824D48" w:rsidRPr="00D36F72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Информационные инструменты поддержки инновационной деятельности в регионе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824D4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49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Д.М.Цукерблата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канд. пед. наук, ведущего научного сотрудника ГПНТБ СО РАН, рассматривается использование изобретений и других охраняемых результатов интеллектуальной деятельности в целях технологического и инновационного развития региона, а также информационные инструменты, направленные на поддержку технологий и активизацию инновационной деятельности. В частности, отмечаются потенциальные возможности упрощения доступа к техническим знаниям и патентной информации.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24D4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  </w:t>
      </w:r>
    </w:p>
    <w:p w:rsidR="00824D48" w:rsidRPr="00824D48" w:rsidRDefault="00824D48" w:rsidP="00824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8D4C54" w:rsidRDefault="008D4C54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bookmarkStart w:id="4" w:name="sotr"/>
      <w:bookmarkEnd w:id="4"/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824D4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Сотрудничество</w:t>
      </w:r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Правовая охрана интеллектуальной собственности в государствах СНГ.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Часть VII – </w:t>
      </w:r>
      <w:r w:rsidRPr="00824D4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56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Продолжаем публикацию статей 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В.И.Еременко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докт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>. наук, посвященную анализу основных положений законодательных актов государств СНГ в области правовой охраны результатов интеллектуальной деятельности и средств индивидуализации. В данной и следующей части статьи будут рассмотрены права на другие результаты интеллектуальной деятельности: топологии (топографии) интегральных микросхем, селекционные достижения (сорта растений), секреты производства (коммерческая тайна). В литературе указанные результаты интеллектуальной деятельности иногда относят к нетрадиционным объектам, правовая охрана которым предоставляется на основе законодательства особого рода (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sui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generis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>).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24D4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</w:t>
      </w:r>
    </w:p>
    <w:p w:rsidR="00824D48" w:rsidRPr="00824D48" w:rsidRDefault="00824D48" w:rsidP="00824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824D48" w:rsidRPr="00824D48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bookmarkStart w:id="5" w:name="za_r"/>
      <w:bookmarkEnd w:id="5"/>
      <w:r w:rsidRPr="00824D4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За рубежом</w:t>
      </w:r>
    </w:p>
    <w:p w:rsidR="00824D48" w:rsidRPr="00D36F72" w:rsidRDefault="00824D48" w:rsidP="00824D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Нормативный подход Европейского союза к определению права, применимого к объектам промышленной собственности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824D4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70</w:t>
      </w:r>
      <w:r w:rsidRPr="00824D48">
        <w:rPr>
          <w:rFonts w:ascii="Arial" w:eastAsia="Times New Roman" w:hAnsi="Arial" w:cs="Arial"/>
          <w:sz w:val="20"/>
          <w:szCs w:val="20"/>
          <w:lang w:eastAsia="ru-RU"/>
        </w:rPr>
        <w:br/>
        <w:t>       </w:t>
      </w:r>
      <w:proofErr w:type="spellStart"/>
      <w:r w:rsidRPr="00824D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Б.А.Шахназаров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 – канд.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. наук, доцент кафедры международного частного права Московского государственного юридического университета им.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О.Е.Кутафина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, исследует наднациональный подход ЕС в сфере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коллизионно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 xml:space="preserve">-правового регулирования объектов промышленной собственности. Отдельно рассматриваются </w:t>
      </w:r>
      <w:proofErr w:type="spellStart"/>
      <w:r w:rsidRPr="00824D48">
        <w:rPr>
          <w:rFonts w:ascii="Arial" w:eastAsia="Times New Roman" w:hAnsi="Arial" w:cs="Arial"/>
          <w:sz w:val="20"/>
          <w:szCs w:val="20"/>
          <w:lang w:eastAsia="ru-RU"/>
        </w:rPr>
        <w:t>коллизионно</w:t>
      </w:r>
      <w:proofErr w:type="spellEnd"/>
      <w:r w:rsidRPr="00824D48">
        <w:rPr>
          <w:rFonts w:ascii="Arial" w:eastAsia="Times New Roman" w:hAnsi="Arial" w:cs="Arial"/>
          <w:sz w:val="20"/>
          <w:szCs w:val="20"/>
          <w:lang w:eastAsia="ru-RU"/>
        </w:rPr>
        <w:t>-правовые подходы к единым объектам промышленной собственности ЕС (единый промышленный образец, единый знак соответствия, единый патент).</w:t>
      </w:r>
      <w:r w:rsidRPr="00824D48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       </w:t>
      </w:r>
      <w:r w:rsidRPr="00824D4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:rsidR="00824D48" w:rsidRPr="00824D48" w:rsidRDefault="00824D48" w:rsidP="00824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4D48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8D4C54" w:rsidRDefault="008D4C54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bookmarkStart w:id="6" w:name="pril"/>
      <w:bookmarkEnd w:id="6"/>
    </w:p>
    <w:p w:rsidR="008D4C54" w:rsidRDefault="008D4C54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5F7E8B" w:rsidRPr="005F7E8B" w:rsidRDefault="005F7E8B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5F7E8B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2, 2019</w:t>
      </w:r>
    </w:p>
    <w:p w:rsidR="005F7E8B" w:rsidRPr="005F7E8B" w:rsidRDefault="00824D48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noProof/>
          <w:color w:val="800000"/>
          <w:lang w:eastAsia="ru-RU"/>
        </w:rPr>
        <w:lastRenderedPageBreak/>
        <w:drawing>
          <wp:inline distT="0" distB="0" distL="0" distR="0" wp14:anchorId="0840878F" wp14:editId="37A05284">
            <wp:extent cx="1143000" cy="1714500"/>
            <wp:effectExtent l="0" t="0" r="0" b="0"/>
            <wp:docPr id="2" name="Рисунок 2" descr="N2_201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2_201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52" w:rsidRPr="00925F5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925F5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Сотрудничество</w:t>
      </w:r>
    </w:p>
    <w:p w:rsidR="00925F52" w:rsidRPr="00925F5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</w:t>
      </w:r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ировые показатели деятельности в области интеллектуальной собственности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925F5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7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  <w:t>       Материал, подготовленный на основе пресс-релиза ВОИС, отражает увеличение спроса на охрану прав интеллектуальной собственности.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25F5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  </w:t>
      </w:r>
    </w:p>
    <w:p w:rsidR="00925F52" w:rsidRPr="00925F52" w:rsidRDefault="00925F52" w:rsidP="00925F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925F52" w:rsidRPr="00925F5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925F5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Охрана интеллектуальной собственности</w:t>
      </w:r>
    </w:p>
    <w:p w:rsidR="00925F52" w:rsidRPr="00925F5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Новеллы законодательства о промышленных образцах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925F5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12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2018 г. в Государственную думу депутатами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Н.В.Костенко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Ю.В.Смирновым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В.В.Николаевой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и другими был внесен проект федерального закона № 428309-7 «О внесении изменений в часть четвертую Гражданского кодекса Российской Федерации» (о государственной регистрации промышленных образцов) (далее – законопроект), который был принят, подписан Президентом Российской Федерации 27 декабря 2018 г. и вступает в силу через 180 дней после его опубликования. Закон предусматривает введение публикации заявок на промышленные образцы и их временную правовую охрану.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</w:t>
      </w:r>
      <w:proofErr w:type="spellStart"/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С.Ю.Фабричного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докт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. наук, члена Совета федерации Федерального собрания Российской Федерации, проф. Новгородского государственного университета, проф. Института государственной службы и управления при Президенте Российской Федерации и </w:t>
      </w:r>
      <w:proofErr w:type="spellStart"/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О.А.Рузаковой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докт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. наук, проф. кафедры международного частного и гражданского права МГИМО МИД РФ, проф. департамента правового регулирования экономической деятельности Финансового университета при Правительстве Российской Федерации, рассматриваются предпосылки указанных изменений и другие особенности 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t>правового режима промышленных образцов в современных условиях, в том числе в отношении одежды, обуви и других объектов, которые подвержены частым изменениям в связи с меняющейся модой.</w:t>
      </w:r>
    </w:p>
    <w:p w:rsidR="00925F52" w:rsidRPr="00925F52" w:rsidRDefault="00925F52" w:rsidP="00925F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925F52" w:rsidRPr="00D36F7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 временной правовой охране промышленных образцов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925F5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19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проф. Санкт-Петербургского государственного университета,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докт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. наук </w:t>
      </w:r>
      <w:proofErr w:type="spellStart"/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О.А.Городова</w:t>
      </w:r>
      <w:proofErr w:type="spellEnd"/>
      <w:r w:rsidR="008D4C5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t>оценивается новый порядок рассмотрения заявки на выдачу патента на промышленный образец, включающий публикацию сведений о заявке и установление временной правовой охраны промышленного образца. В результате анализа новых правил и пояснительной записки к законопроекту автор приходит к выводу о нецелесообразности как публикации сведений о заявке, так и установления временной правовой охраны в рамках простой проверочной системы экспертизы заявок.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6F7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25F52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       </w:t>
      </w:r>
    </w:p>
    <w:p w:rsidR="00925F52" w:rsidRPr="00925F52" w:rsidRDefault="00925F52" w:rsidP="00925F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925F52" w:rsidRPr="00925F5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Женевский акт Лиссабонского соглашения: перспективы участия России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925F5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26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  <w:t>       </w:t>
      </w:r>
      <w:proofErr w:type="spellStart"/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С.А.Горленко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канд.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>. наук, главный научный сотрудник ФГБУ ФИПС, считает, что присоединение Российской Федерации к Женевскому акту Лиссабонского соглашения о наименованиях мест происхождения товаров и географических указаниях может стать эффективным механизмом международной правовой охраны российских наименований мест происхождения товаров и географических указаний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25F5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25F52" w:rsidRPr="00925F52" w:rsidRDefault="00925F52" w:rsidP="00925F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925F52" w:rsidRPr="00925F5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Патенты на антитела: формула изобретения как отражение его сущности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925F5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33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Антитела имеют большой потенциал, будучи универсальным, понятным и очень удобным конструктором лекарственных средств направленного действия. Поэтому правильная характеристика связанных с антителами изобретений в формуле критична для стимулирования прогресса в соответствующих областях медицины, – считают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ведующие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специалисты ООО «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Союзпатент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proofErr w:type="spellStart"/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М.В.Купцова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Т.Н.Бадаева</w:t>
      </w:r>
      <w:proofErr w:type="spellEnd"/>
      <w:r w:rsidR="008D4C5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25F5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  </w:t>
      </w:r>
    </w:p>
    <w:p w:rsidR="00925F52" w:rsidRPr="00925F52" w:rsidRDefault="00925F52" w:rsidP="00925F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*  *  *</w:t>
      </w:r>
    </w:p>
    <w:p w:rsidR="00925F52" w:rsidRPr="00925F5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bookmarkStart w:id="7" w:name="upr_in_s"/>
      <w:bookmarkEnd w:id="7"/>
      <w:r w:rsidRPr="00925F5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Управление интеллектуальной собственностью</w:t>
      </w:r>
    </w:p>
    <w:p w:rsidR="00925F52" w:rsidRPr="00925F5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Право автора служебного изобретения на вознаграждение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925F5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48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Автор статьи </w:t>
      </w:r>
      <w:proofErr w:type="spellStart"/>
      <w:r w:rsidRPr="00925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Э.П.Гаврилов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докт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925F52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925F52">
        <w:rPr>
          <w:rFonts w:ascii="Arial" w:eastAsia="Times New Roman" w:hAnsi="Arial" w:cs="Arial"/>
          <w:sz w:val="20"/>
          <w:szCs w:val="20"/>
          <w:lang w:eastAsia="ru-RU"/>
        </w:rPr>
        <w:t>. наук, профессор-исследователь факультета права Национального исследовательского университета Высшая школа экономики, полагает, что право автора служебного изобретения в действующем российском законодательстве фактически не урегулировано, что лишает авторов служебных изобретений возможности защищать свои права.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25F52" w:rsidRPr="00925F52" w:rsidRDefault="00925F52" w:rsidP="00925F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925F5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Приложение</w:t>
      </w:r>
    </w:p>
    <w:p w:rsidR="00AA5BAC" w:rsidRDefault="00925F52" w:rsidP="00925F52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925F52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закон Российской Федерации от 27 декабря 2018 г. № 549ФЗ «О внесении изменений в часть четвертую Гражданского кодекса Российской Федерации» – </w:t>
      </w:r>
      <w:r w:rsidRPr="00925F5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56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Постановление Пленума Верховного суда Российской Федерации от 25 декабря 2018 г. № 50 </w:t>
      </w:r>
      <w:r w:rsidRPr="00925F5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 – </w:t>
      </w:r>
      <w:r w:rsidRPr="00925F5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57</w:t>
      </w:r>
    </w:p>
    <w:p w:rsidR="00925F52" w:rsidRDefault="00925F52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925F52" w:rsidRDefault="00925F52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925F52" w:rsidRDefault="00925F52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925F52" w:rsidRDefault="00925F52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925F52" w:rsidRDefault="00925F52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925F52" w:rsidRDefault="00925F52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8D4C54" w:rsidRDefault="008D4C54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P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EE685E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3, 2019</w:t>
      </w:r>
    </w:p>
    <w:p w:rsidR="00EE685E" w:rsidRPr="00EE685E" w:rsidRDefault="00925F52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noProof/>
          <w:color w:val="800000"/>
          <w:lang w:eastAsia="ru-RU"/>
        </w:rPr>
        <w:drawing>
          <wp:inline distT="0" distB="0" distL="0" distR="0" wp14:anchorId="2C4D8387" wp14:editId="79257AC7">
            <wp:extent cx="1143000" cy="1714500"/>
            <wp:effectExtent l="0" t="0" r="0" b="0"/>
            <wp:docPr id="4" name="Рисунок 4" descr="N3_201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3_201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33A" w:rsidRPr="0038233A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38233A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Инновации и экономика</w:t>
      </w:r>
    </w:p>
    <w:p w:rsidR="0038233A" w:rsidRPr="00D36F72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Конкурентоспособность предпринимательства в цифровой экономике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. Часть I – </w:t>
      </w:r>
      <w:r w:rsidRPr="0038233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2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По мнению авторов статьи </w:t>
      </w:r>
      <w:proofErr w:type="spellStart"/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Л.Г.Кравца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канд. филолог. наук, доцента и </w:t>
      </w:r>
      <w:proofErr w:type="spellStart"/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А.А.Молчановой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главного специалиста ФИПС, действующим на рынке предпринимателям важно овладевать современными средствами обретения конкурентных преимуществ – способностью лучше других противодействовать конкуренции и находить способы обеспечения высоких качественных показателей предоставляемых товаров и услуг при минимальном уровне издержек на их производство. Помимо глубокого осмысления сущности конкурентоспособности, руководители всех уровней должны осваивать новейшие средства обеспечения конкурентоспособности и отстаивания конкурентных преимуществ своего хозяйства, в том числе посредством реализации богатых возможностей конкурентной разведки и правовой охраны объектов интеллектуальной собственности.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38233A" w:rsidRPr="0038233A" w:rsidRDefault="0038233A" w:rsidP="003823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38233A" w:rsidRPr="0038233A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Патенты в области искусственного интеллекта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38233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10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  <w:t>       ВОИС приводит документальные подтверждения резко увеличившегося за последнее время числа изобретений на основе искусственного интеллекта. Этот рост объясняется тем, что за последние годы, как это следует из пресс-релиза ВОИС, искусственный интеллект превратился из теоретической концепции в реальный продукт, завоевывающий мировой рынок.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38233A" w:rsidRPr="0038233A" w:rsidRDefault="0038233A" w:rsidP="00382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233A" w:rsidRPr="0038233A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38233A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lastRenderedPageBreak/>
        <w:t>Охрана интеллектуальной собственности</w:t>
      </w:r>
    </w:p>
    <w:p w:rsidR="0038233A" w:rsidRPr="00D36F72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Патентование лекарственных средств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38233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13</w:t>
      </w:r>
      <w:r w:rsidR="008D4C5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.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</w:t>
      </w:r>
      <w:proofErr w:type="spellStart"/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Е.Б.Гавриловой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заместителя директора ФГБУ ФИПС и </w:t>
      </w:r>
      <w:proofErr w:type="spellStart"/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Н.Б.Лыскова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заведующего отделением химии, биотехнологии и медицины института, отражены основные проблемы, стоящие перед фармацевтической отраслью при патентовании изобретений, относящихся к лекарственным средствам.     </w:t>
      </w:r>
      <w:hyperlink r:id="rId12" w:history="1"/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8233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  </w:t>
      </w:r>
    </w:p>
    <w:p w:rsidR="0038233A" w:rsidRPr="0038233A" w:rsidRDefault="0038233A" w:rsidP="003823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38233A" w:rsidRPr="00D36F72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Правовая охрана зависимых изобретений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38233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21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</w:t>
      </w:r>
      <w:proofErr w:type="spellStart"/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А.С.Ворожевич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канд. </w:t>
      </w:r>
      <w:proofErr w:type="spellStart"/>
      <w:r w:rsidRPr="0038233A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. наук, старшего преподавателя кафедры интеллектуальных прав Университета им. </w:t>
      </w:r>
      <w:proofErr w:type="spellStart"/>
      <w:r w:rsidRPr="0038233A">
        <w:rPr>
          <w:rFonts w:ascii="Arial" w:eastAsia="Times New Roman" w:hAnsi="Arial" w:cs="Arial"/>
          <w:sz w:val="20"/>
          <w:szCs w:val="20"/>
          <w:lang w:eastAsia="ru-RU"/>
        </w:rPr>
        <w:t>О.Е.Кутафина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(МГЮА), анализируется институт зависимых изобретений. Автор раскрывает особенности осуществления и защиты прав на такие объекты. Рассматриваются условия выдачи принудительной лицензии в пользу обладателя зависимого изобретения.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8233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  </w:t>
      </w:r>
    </w:p>
    <w:p w:rsidR="0038233A" w:rsidRPr="0038233A" w:rsidRDefault="0038233A" w:rsidP="003823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sz w:val="20"/>
          <w:szCs w:val="20"/>
          <w:lang w:eastAsia="ru-RU"/>
        </w:rPr>
        <w:t>*  *  *</w:t>
      </w:r>
    </w:p>
    <w:p w:rsidR="0038233A" w:rsidRPr="008D4C54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 промышленной применимости и техническом результате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38233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31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</w:t>
      </w:r>
      <w:proofErr w:type="spellStart"/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М.В.Пантелеева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рассматривается условие патентоспособности изобретения «промышленная применимость» как с точки зрения определения содержания этого понятия, раскрытого в нормативных документах, так и исходя из методики анализа изобретения на соответствие этому условию в соответствии с нормативными документами ФИПС и ЕАПВ.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8233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  </w:t>
      </w:r>
    </w:p>
    <w:p w:rsidR="0038233A" w:rsidRPr="0038233A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38233A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Управление интеллектуальной собственностью</w:t>
      </w:r>
    </w:p>
    <w:p w:rsidR="0038233A" w:rsidRPr="00D36F72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Распоряжение правом на получение патента и правом на изобретение, принадлежащим нескольким лицам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38233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40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  <w:t>       </w:t>
      </w:r>
      <w:proofErr w:type="spellStart"/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Н.Н.Пупынина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аспирантка РГАИС (Москва), исследует проблему, вынесенную в заголовок статьи.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8233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  </w:t>
      </w:r>
    </w:p>
    <w:p w:rsidR="008D4C54" w:rsidRDefault="008D4C54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38233A" w:rsidRPr="0038233A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38233A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Сотрудничество</w:t>
      </w:r>
    </w:p>
    <w:p w:rsidR="0038233A" w:rsidRPr="0038233A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Правовая охрана интеллектуальной собственности в государствах СНГ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. Часть VIII – </w:t>
      </w:r>
      <w:r w:rsidRPr="0038233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50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</w:t>
      </w:r>
      <w:proofErr w:type="spellStart"/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В.И.Еременко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38233A">
        <w:rPr>
          <w:rFonts w:ascii="Arial" w:eastAsia="Times New Roman" w:hAnsi="Arial" w:cs="Arial"/>
          <w:sz w:val="20"/>
          <w:szCs w:val="20"/>
          <w:lang w:eastAsia="ru-RU"/>
        </w:rPr>
        <w:t>докт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38233A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>. наук, анализируются основные положения законодательных актов государств СНГ в области правовой охраны результатов интеллектуальной деятельности и средств индивидуализации.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8233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  </w:t>
      </w:r>
    </w:p>
    <w:p w:rsidR="0038233A" w:rsidRPr="0038233A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38233A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За рубежом</w:t>
      </w:r>
    </w:p>
    <w:p w:rsidR="0038233A" w:rsidRPr="00334D30" w:rsidRDefault="0038233A" w:rsidP="0038233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</w:pPr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Право, применимое к объектам промышленной собственности, в странах Европейского союза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38233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с. 61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В статье </w:t>
      </w:r>
      <w:proofErr w:type="spellStart"/>
      <w:r w:rsidRPr="00382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Б.А.Шахназарова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– канд. </w:t>
      </w:r>
      <w:proofErr w:type="spellStart"/>
      <w:r w:rsidRPr="0038233A">
        <w:rPr>
          <w:rFonts w:ascii="Arial" w:eastAsia="Times New Roman" w:hAnsi="Arial" w:cs="Arial"/>
          <w:sz w:val="20"/>
          <w:szCs w:val="20"/>
          <w:lang w:eastAsia="ru-RU"/>
        </w:rPr>
        <w:t>юрид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. наук, доцента кафедры международного частного права Московского государственного юридического университета им. </w:t>
      </w:r>
      <w:proofErr w:type="spellStart"/>
      <w:r w:rsidRPr="0038233A">
        <w:rPr>
          <w:rFonts w:ascii="Arial" w:eastAsia="Times New Roman" w:hAnsi="Arial" w:cs="Arial"/>
          <w:sz w:val="20"/>
          <w:szCs w:val="20"/>
          <w:lang w:eastAsia="ru-RU"/>
        </w:rPr>
        <w:t>О.Е.Кутафина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 (МГЮА), рассматриваются особенности </w:t>
      </w:r>
      <w:proofErr w:type="spellStart"/>
      <w:r w:rsidRPr="0038233A">
        <w:rPr>
          <w:rFonts w:ascii="Arial" w:eastAsia="Times New Roman" w:hAnsi="Arial" w:cs="Arial"/>
          <w:sz w:val="20"/>
          <w:szCs w:val="20"/>
          <w:lang w:eastAsia="ru-RU"/>
        </w:rPr>
        <w:t>коллизионно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-правового регулирования объектов промышленной собственности в странах Европейского союза. Исследуя законодательство отдельных стран ЕС в сфере </w:t>
      </w:r>
      <w:proofErr w:type="spellStart"/>
      <w:r w:rsidRPr="0038233A">
        <w:rPr>
          <w:rFonts w:ascii="Arial" w:eastAsia="Times New Roman" w:hAnsi="Arial" w:cs="Arial"/>
          <w:sz w:val="20"/>
          <w:szCs w:val="20"/>
          <w:lang w:eastAsia="ru-RU"/>
        </w:rPr>
        <w:t>коллизионно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 xml:space="preserve">-правового регулирования объектов промышленной собственности, автор приходит к выводу о том, что наднациональное регулирование и законодательство отдельных стран ЕС представляют собой симбиоз всевозможных </w:t>
      </w:r>
      <w:proofErr w:type="spellStart"/>
      <w:r w:rsidRPr="0038233A">
        <w:rPr>
          <w:rFonts w:ascii="Arial" w:eastAsia="Times New Roman" w:hAnsi="Arial" w:cs="Arial"/>
          <w:sz w:val="20"/>
          <w:szCs w:val="20"/>
          <w:lang w:eastAsia="ru-RU"/>
        </w:rPr>
        <w:t>коллизионно</w:t>
      </w:r>
      <w:proofErr w:type="spellEnd"/>
      <w:r w:rsidRPr="0038233A">
        <w:rPr>
          <w:rFonts w:ascii="Arial" w:eastAsia="Times New Roman" w:hAnsi="Arial" w:cs="Arial"/>
          <w:sz w:val="20"/>
          <w:szCs w:val="20"/>
          <w:lang w:eastAsia="ru-RU"/>
        </w:rPr>
        <w:t>-правовых подходов к определению интеллектуального статута.</w:t>
      </w:r>
      <w:r w:rsidRPr="0038233A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AA5BAC" w:rsidRPr="000C20BE" w:rsidRDefault="00AA5BAC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sectPr w:rsidR="00AA5BAC" w:rsidRPr="000C20BE" w:rsidSect="00334D3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6A"/>
    <w:multiLevelType w:val="multilevel"/>
    <w:tmpl w:val="D61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7211"/>
    <w:multiLevelType w:val="multilevel"/>
    <w:tmpl w:val="951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27ACB"/>
    <w:multiLevelType w:val="multilevel"/>
    <w:tmpl w:val="0B6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EDC"/>
    <w:multiLevelType w:val="multilevel"/>
    <w:tmpl w:val="334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B6BEA"/>
    <w:multiLevelType w:val="multilevel"/>
    <w:tmpl w:val="608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54A74"/>
    <w:multiLevelType w:val="multilevel"/>
    <w:tmpl w:val="23E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11038"/>
    <w:multiLevelType w:val="multilevel"/>
    <w:tmpl w:val="DD5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A632D"/>
    <w:multiLevelType w:val="multilevel"/>
    <w:tmpl w:val="FF1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E2BC7"/>
    <w:multiLevelType w:val="multilevel"/>
    <w:tmpl w:val="6B0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E16BD"/>
    <w:multiLevelType w:val="multilevel"/>
    <w:tmpl w:val="1F9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D5F04"/>
    <w:multiLevelType w:val="multilevel"/>
    <w:tmpl w:val="D1E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5A6"/>
    <w:multiLevelType w:val="multilevel"/>
    <w:tmpl w:val="D91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D182D"/>
    <w:multiLevelType w:val="multilevel"/>
    <w:tmpl w:val="35F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F70"/>
    <w:multiLevelType w:val="multilevel"/>
    <w:tmpl w:val="D7A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B7877"/>
    <w:multiLevelType w:val="multilevel"/>
    <w:tmpl w:val="9D40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B111A"/>
    <w:multiLevelType w:val="multilevel"/>
    <w:tmpl w:val="7E0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E4017"/>
    <w:multiLevelType w:val="multilevel"/>
    <w:tmpl w:val="CDA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A5C39"/>
    <w:multiLevelType w:val="multilevel"/>
    <w:tmpl w:val="7D9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544B7"/>
    <w:multiLevelType w:val="multilevel"/>
    <w:tmpl w:val="EC1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46753"/>
    <w:multiLevelType w:val="multilevel"/>
    <w:tmpl w:val="4CF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4955"/>
    <w:multiLevelType w:val="multilevel"/>
    <w:tmpl w:val="16DE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022A5D"/>
    <w:multiLevelType w:val="multilevel"/>
    <w:tmpl w:val="CCE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77A12"/>
    <w:multiLevelType w:val="multilevel"/>
    <w:tmpl w:val="B91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14ECD"/>
    <w:multiLevelType w:val="multilevel"/>
    <w:tmpl w:val="B7A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B502A"/>
    <w:multiLevelType w:val="multilevel"/>
    <w:tmpl w:val="32A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20"/>
  </w:num>
  <w:num w:numId="9">
    <w:abstractNumId w:val="13"/>
  </w:num>
  <w:num w:numId="10">
    <w:abstractNumId w:val="14"/>
  </w:num>
  <w:num w:numId="11">
    <w:abstractNumId w:val="5"/>
  </w:num>
  <w:num w:numId="12">
    <w:abstractNumId w:val="0"/>
  </w:num>
  <w:num w:numId="13">
    <w:abstractNumId w:val="8"/>
  </w:num>
  <w:num w:numId="14">
    <w:abstractNumId w:val="22"/>
  </w:num>
  <w:num w:numId="15">
    <w:abstractNumId w:val="7"/>
  </w:num>
  <w:num w:numId="16">
    <w:abstractNumId w:val="19"/>
  </w:num>
  <w:num w:numId="17">
    <w:abstractNumId w:val="21"/>
  </w:num>
  <w:num w:numId="18">
    <w:abstractNumId w:val="18"/>
  </w:num>
  <w:num w:numId="19">
    <w:abstractNumId w:val="3"/>
  </w:num>
  <w:num w:numId="20">
    <w:abstractNumId w:val="6"/>
  </w:num>
  <w:num w:numId="21">
    <w:abstractNumId w:val="16"/>
  </w:num>
  <w:num w:numId="22">
    <w:abstractNumId w:val="23"/>
  </w:num>
  <w:num w:numId="23">
    <w:abstractNumId w:val="1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A6"/>
    <w:rsid w:val="0007777D"/>
    <w:rsid w:val="000C20BE"/>
    <w:rsid w:val="0027667F"/>
    <w:rsid w:val="00334D30"/>
    <w:rsid w:val="0038233A"/>
    <w:rsid w:val="005F7E8B"/>
    <w:rsid w:val="00705C26"/>
    <w:rsid w:val="00824D48"/>
    <w:rsid w:val="008D4C54"/>
    <w:rsid w:val="00925F52"/>
    <w:rsid w:val="00AA5BAC"/>
    <w:rsid w:val="00C36011"/>
    <w:rsid w:val="00D36F72"/>
    <w:rsid w:val="00E018D8"/>
    <w:rsid w:val="00EB61A6"/>
    <w:rsid w:val="00E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D344"/>
  <w15:chartTrackingRefBased/>
  <w15:docId w15:val="{99AC8956-9AA3-4205-8394-D2D54C9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62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7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4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711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5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6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5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1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6336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2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62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66304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7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3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6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2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2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585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41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0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5225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52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79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57583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3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432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0174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1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5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5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7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4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5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2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7464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6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77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18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4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0469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11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869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4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6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9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419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86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304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1402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59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7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5816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9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5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057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25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3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94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3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7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1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9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09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55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0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279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4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2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3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32666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66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5948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7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24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21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28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ents-and-licences.webzone.ru/issue/2_1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patents-and-licences.webzone.ru/issue/3p_1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tents-and-licences.webzone.ru/issue/1_19.html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://patents-and-licences.webzone.ru/issue/3_1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15EE-9369-470F-8831-0B80F127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Рыхторова Анна Евгеньевна</cp:lastModifiedBy>
  <cp:revision>3</cp:revision>
  <dcterms:created xsi:type="dcterms:W3CDTF">2019-08-09T10:14:00Z</dcterms:created>
  <dcterms:modified xsi:type="dcterms:W3CDTF">2019-08-12T07:22:00Z</dcterms:modified>
</cp:coreProperties>
</file>