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FC" w:rsidRDefault="005C3B1B" w:rsidP="00B86F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Право интеллектуальной собственности</w:t>
      </w:r>
    </w:p>
    <w:p w:rsidR="00B86FFC" w:rsidRDefault="00B86FFC" w:rsidP="00B86F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Содержание журнала</w:t>
      </w:r>
    </w:p>
    <w:p w:rsidR="00B86FFC" w:rsidRDefault="005C3B1B" w:rsidP="00B86F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 xml:space="preserve"> </w:t>
      </w:r>
    </w:p>
    <w:p w:rsidR="00B86FFC" w:rsidRDefault="00F71D64" w:rsidP="005C3B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48"/>
          <w:szCs w:val="48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№2, 2019</w:t>
      </w:r>
    </w:p>
    <w:p w:rsidR="00526CCB" w:rsidRDefault="00526CCB" w:rsidP="005C3B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414040"/>
          <w:kern w:val="36"/>
          <w:sz w:val="28"/>
          <w:szCs w:val="28"/>
          <w:lang w:eastAsia="ru-RU"/>
        </w:rPr>
      </w:pPr>
      <w:r w:rsidRPr="00B86FFC">
        <w:rPr>
          <w:rFonts w:asciiTheme="majorHAnsi" w:eastAsia="Times New Roman" w:hAnsiTheme="majorHAnsi" w:cs="Times New Roman"/>
          <w:b/>
          <w:bCs/>
          <w:color w:val="414040"/>
          <w:kern w:val="36"/>
          <w:sz w:val="28"/>
          <w:szCs w:val="28"/>
          <w:lang w:val="en-US" w:eastAsia="ru-RU"/>
        </w:rPr>
        <w:t>XI</w:t>
      </w:r>
      <w:r w:rsidRPr="00B86FFC">
        <w:rPr>
          <w:rFonts w:asciiTheme="majorHAnsi" w:eastAsia="Times New Roman" w:hAnsiTheme="majorHAnsi" w:cs="Times New Roman"/>
          <w:b/>
          <w:bCs/>
          <w:color w:val="414040"/>
          <w:kern w:val="36"/>
          <w:sz w:val="28"/>
          <w:szCs w:val="28"/>
          <w:lang w:eastAsia="ru-RU"/>
        </w:rPr>
        <w:t xml:space="preserve">   МЕЖДУНАРОДНЫЙ ФОРУМ «ИННОВАЦИОННОЕ РАЗВИТИЕ ЧЕРЕЗ РЫНОК ИНТЕЛЛЕКТУАЛЬНОЙ СОБСТВЕННОСТИ»</w:t>
      </w:r>
    </w:p>
    <w:p w:rsidR="00526CCB" w:rsidRPr="00526CCB" w:rsidRDefault="00526CCB" w:rsidP="0003764E">
      <w:pPr>
        <w:numPr>
          <w:ilvl w:val="0"/>
          <w:numId w:val="8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Медведев Д.А. </w:t>
      </w:r>
      <w:hyperlink r:id="rId5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4</w:t>
        </w:r>
      </w:hyperlink>
      <w:r w:rsidRPr="00526CCB"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  <w:t>.</w:t>
      </w: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3030CC">
      <w:pPr>
        <w:numPr>
          <w:ilvl w:val="0"/>
          <w:numId w:val="9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Лебедев С.Н. </w:t>
      </w:r>
      <w:hyperlink r:id="rId6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4</w:t>
        </w:r>
      </w:hyperlink>
      <w:r w:rsidRPr="00526CCB"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  <w:t>.</w:t>
      </w: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155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Норов В.И. </w:t>
      </w:r>
      <w:hyperlink r:id="rId7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4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C514FB">
      <w:pPr>
        <w:numPr>
          <w:ilvl w:val="0"/>
          <w:numId w:val="11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Жаксылыков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Т.М. </w:t>
      </w:r>
      <w:hyperlink r:id="rId8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5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2668DD">
      <w:pPr>
        <w:numPr>
          <w:ilvl w:val="0"/>
          <w:numId w:val="12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Рапота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Г.А. </w:t>
      </w:r>
      <w:hyperlink r:id="rId9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5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2B3619">
      <w:pPr>
        <w:numPr>
          <w:ilvl w:val="0"/>
          <w:numId w:val="13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Шумилин А.Г. </w:t>
      </w:r>
      <w:hyperlink r:id="rId10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5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E514B4">
      <w:pPr>
        <w:numPr>
          <w:ilvl w:val="0"/>
          <w:numId w:val="14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Молдошева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Д.А. </w:t>
      </w:r>
      <w:hyperlink r:id="rId11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6</w:t>
        </w:r>
      </w:hyperlink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ЕАЭС И СНГ</w:t>
      </w: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Default="00526CCB" w:rsidP="00C55479">
      <w:pPr>
        <w:numPr>
          <w:ilvl w:val="0"/>
          <w:numId w:val="15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Степашин С.В. </w:t>
      </w:r>
      <w:hyperlink r:id="rId12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О значении Форума для формирования и развития рынка интеллектуальной собственности в ЕАЭС, СНГ и мире С. 7-8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E70CB7">
      <w:pPr>
        <w:numPr>
          <w:ilvl w:val="0"/>
          <w:numId w:val="16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Лопатин В.Н. </w:t>
      </w:r>
      <w:hyperlink r:id="rId13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Проблемы формирования евразийского рынка интеллектуальной собственности в 2018 г. и приоритеты на перспективу до 2025 г. как условие конкурентоспособности в цифровой экономике. С. 9-17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9D209A">
      <w:pPr>
        <w:numPr>
          <w:ilvl w:val="0"/>
          <w:numId w:val="17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Алдошин С.М. </w:t>
      </w:r>
      <w:hyperlink r:id="rId14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О конкурентоспособности академической науки в цифровой экономике . С. 18-20</w:t>
        </w:r>
      </w:hyperlink>
    </w:p>
    <w:p w:rsid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lastRenderedPageBreak/>
        <w:t>КОНКУРЕНЦИЯ В НАУКЕ</w:t>
      </w:r>
    </w:p>
    <w:p w:rsidR="00B86FFC" w:rsidRP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0E4ED2">
      <w:pPr>
        <w:numPr>
          <w:ilvl w:val="0"/>
          <w:numId w:val="18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Артемьев И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Ю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5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Развитие и защита конкуренции: новые вызовы для государства и науки С. 21-24</w:t>
        </w:r>
      </w:hyperlink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ПРАВОВАЯ ЗАЩИТА</w:t>
      </w:r>
    </w:p>
    <w:p w:rsidR="00B86FFC" w:rsidRPr="00526CCB" w:rsidRDefault="00B86FFC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Default="00526CCB" w:rsidP="00421FD3">
      <w:pPr>
        <w:numPr>
          <w:ilvl w:val="0"/>
          <w:numId w:val="19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Дорошков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6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Современные проблемы защиты интеллектуальной собственности в условиях формирования рынка интеллектуальной собственности С. 25-30</w:t>
        </w:r>
      </w:hyperlink>
    </w:p>
    <w:p w:rsidR="00B86FFC" w:rsidRPr="00526CCB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ИТОГИ ФОРУМА</w:t>
      </w:r>
    </w:p>
    <w:p w:rsidR="00B86FFC" w:rsidRPr="00526CCB" w:rsidRDefault="00B86FFC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181245">
      <w:pPr>
        <w:numPr>
          <w:ilvl w:val="0"/>
          <w:numId w:val="20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Лопатина А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7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Итоги XI Международного форума </w:t>
        </w:r>
        <w:r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≪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Инновационное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развитие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через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рынок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интеллектуальной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собственности</w:t>
        </w:r>
        <w:r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≫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 31-34</w:t>
        </w:r>
      </w:hyperlink>
    </w:p>
    <w:p w:rsidR="00526CCB" w:rsidRPr="00526CCB" w:rsidRDefault="00F96D99" w:rsidP="00526C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hyperlink r:id="rId18" w:history="1"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Итоговый документ — рекомендации XI Международного форума </w:t>
        </w:r>
        <w:r w:rsidR="00526CCB"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≪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Инновационное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развитие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через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рынок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интеллектуальной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собственности</w:t>
        </w:r>
        <w:r w:rsidR="00526CCB"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≫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6CCB"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</w:t>
        </w:r>
        <w:r w:rsidR="00526CCB"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 35-44</w:t>
        </w:r>
      </w:hyperlink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КОНФЕРЕНЦИЯ ВОИС</w:t>
      </w:r>
    </w:p>
    <w:p w:rsidR="00B86FFC" w:rsidRPr="00526CCB" w:rsidRDefault="00B86FFC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Default="00526CCB" w:rsidP="000F1C2E">
      <w:pPr>
        <w:numPr>
          <w:ilvl w:val="0"/>
          <w:numId w:val="22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Лопатин 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Н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9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Выгоды и будущее интеллектуальной собственности в мире С. 45-48</w:t>
        </w:r>
      </w:hyperlink>
    </w:p>
    <w:p w:rsid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№</w:t>
      </w:r>
      <w:r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3</w:t>
      </w: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, 2019</w:t>
      </w: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ВОПРОСЫ ТЕОРИИ</w:t>
      </w: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Pr="00B86FFC" w:rsidRDefault="00B86FFC" w:rsidP="00E200A6">
      <w:pPr>
        <w:numPr>
          <w:ilvl w:val="0"/>
          <w:numId w:val="23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Максимов С.В., Васин В.А. </w:t>
      </w:r>
      <w:hyperlink r:id="rId20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Цифровой конкурентный кодекс: научные предпосылки для разработки С. 4-8</w:t>
        </w:r>
      </w:hyperlink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ПРАВОВАЯ ОХРАНА</w:t>
      </w: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091CDE">
      <w:pPr>
        <w:numPr>
          <w:ilvl w:val="0"/>
          <w:numId w:val="24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Оморов</w:t>
      </w:r>
      <w:proofErr w:type="spellEnd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Р.О., Роман А. </w:t>
      </w:r>
      <w:hyperlink r:id="rId21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Охрана традиционных знаний в </w:t>
        </w:r>
        <w:proofErr w:type="spellStart"/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Кыргызской</w:t>
        </w:r>
        <w:proofErr w:type="spellEnd"/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Республике С. 9-11</w:t>
        </w:r>
      </w:hyperlink>
    </w:p>
    <w:p w:rsidR="00B86FFC" w:rsidRP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СТАНДАРТИЗАЦИЯ</w:t>
      </w: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60068F">
      <w:pPr>
        <w:numPr>
          <w:ilvl w:val="0"/>
          <w:numId w:val="25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Писаревский Е.Л. </w:t>
      </w:r>
      <w:hyperlink r:id="rId22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Цифровые платформы в социальном страховании. Перспективы развития С. 12-15</w:t>
        </w:r>
      </w:hyperlink>
    </w:p>
    <w:p w:rsidR="00B86FFC" w:rsidRP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3D0853">
      <w:pPr>
        <w:numPr>
          <w:ilvl w:val="0"/>
          <w:numId w:val="26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Мотовилова Д.А. </w:t>
      </w:r>
      <w:hyperlink r:id="rId23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Правовая квалификация гиперссылок: эволюция подходов</w:t>
        </w:r>
        <w:r w:rsidR="00F50A99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С. 16-19</w:t>
        </w:r>
      </w:hyperlink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lastRenderedPageBreak/>
        <w:t>ЭКОНОМИКА ИНТЕЛЛЕКТУАЛЬНОЙ СОБСТВЕННОСТИ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137D81">
      <w:pPr>
        <w:numPr>
          <w:ilvl w:val="0"/>
          <w:numId w:val="27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Чайковская Л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4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Бухгалтерский учет, оценка и идентификация интеллектуальной собственности С. 20-24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ТАМОЖЕННАЯ ЗАЩИТА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3E4AB9">
      <w:pPr>
        <w:numPr>
          <w:ilvl w:val="0"/>
          <w:numId w:val="28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Сорокин 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М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5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Таможенный контроль товаров, содержащих объекты интеллектуальной собственности, как государственная таможенная услуга С. 25-30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1266EB">
      <w:pPr>
        <w:numPr>
          <w:ilvl w:val="0"/>
          <w:numId w:val="29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Гетман 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Г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6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Новый вектор в теории таможенной защиты интеллектуальной собственности на пространстве ЕАЭС С. 31-35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ПРЕПОДАВАНИЕ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EB24E6">
      <w:pPr>
        <w:numPr>
          <w:ilvl w:val="0"/>
          <w:numId w:val="30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Зенин</w:t>
      </w:r>
      <w:proofErr w:type="spellEnd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И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7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Проблемы науки и преподавания права интеллектуальной собственности С. 36-42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ТРИБУНА МОЛОДОГО УЧЕНОГО</w:t>
      </w:r>
    </w:p>
    <w:p w:rsidR="00B86FFC" w:rsidRDefault="00B86FFC" w:rsidP="00911D6C">
      <w:pPr>
        <w:numPr>
          <w:ilvl w:val="0"/>
          <w:numId w:val="31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Алексеев Н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В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8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Искусственный интеллект и роботизация: правовые проблемы интеллектуальной собственности С. 42-46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КОНФЕРЕНЦИИ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Pr="001216E8" w:rsidRDefault="00F96D99" w:rsidP="00B86FF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hyperlink r:id="rId29" w:history="1">
        <w:r w:rsidR="00B86FFC" w:rsidRPr="00B86FFC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≪</w:t>
        </w:r>
        <w:r w:rsidR="00B86FFC"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Армия</w:t>
        </w:r>
        <w:r w:rsidR="00B86FFC"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2019</w:t>
        </w:r>
        <w:r w:rsidR="00B86FFC" w:rsidRPr="00B86FFC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≫</w:t>
        </w:r>
        <w:r w:rsidR="00B86FFC"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B86FFC"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</w:t>
        </w:r>
        <w:r w:rsidR="00B86FFC"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B86FFC"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реформа</w:t>
        </w:r>
        <w:r w:rsidR="00B86FFC"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B86FFC"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ОПК</w:t>
        </w:r>
        <w:r w:rsidR="00B86FFC"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B86FFC"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</w:t>
        </w:r>
        <w:r w:rsidR="00B86FFC"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 47-48</w:t>
        </w:r>
      </w:hyperlink>
    </w:p>
    <w:p w:rsidR="001216E8" w:rsidRDefault="001216E8" w:rsidP="001216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72BC"/>
          <w:sz w:val="28"/>
          <w:szCs w:val="28"/>
          <w:bdr w:val="none" w:sz="0" w:space="0" w:color="auto" w:frame="1"/>
          <w:lang w:eastAsia="ru-RU"/>
        </w:rPr>
      </w:pPr>
    </w:p>
    <w:p w:rsidR="001216E8" w:rsidRDefault="001216E8" w:rsidP="001216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№</w:t>
      </w:r>
      <w:r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4</w:t>
      </w: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, 2019</w:t>
      </w:r>
    </w:p>
    <w:p w:rsidR="007457E2" w:rsidRDefault="007457E2" w:rsidP="007457E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ВОПРОСЫ ТЕОРИИ</w:t>
      </w:r>
    </w:p>
    <w:p w:rsidR="007457E2" w:rsidRDefault="007457E2" w:rsidP="007457E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7457E2" w:rsidRDefault="007457E2" w:rsidP="007457E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Савельева М.В., Кулаков Н.А. </w:t>
      </w:r>
      <w:r w:rsidRPr="007457E2"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Право интеллектуальной собственности 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– комплексный институт российской правовой системы. С. 4-7.</w:t>
      </w:r>
    </w:p>
    <w:p w:rsidR="007457E2" w:rsidRDefault="007457E2" w:rsidP="007457E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7457E2" w:rsidRDefault="007457E2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Зыков С.В.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«Иные («неклассические») объекты </w:t>
      </w:r>
      <w:r w:rsidR="008C27AD"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интеллектуальных прав: общие признаки. С.8-12.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ПРАВОВАЯ ОХРАНА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Бекета</w:t>
      </w:r>
      <w:proofErr w:type="spellEnd"/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В.М. </w:t>
      </w:r>
      <w:r w:rsidRPr="008C27AD"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Интеллектуальная собственность в сфере правовой информатизации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. С.13-16.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lastRenderedPageBreak/>
        <w:t>Гаврюшкин</w:t>
      </w:r>
      <w:proofErr w:type="spellEnd"/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С.Н.</w:t>
      </w:r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27AD"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Право на изображение личности: некоторые аспекты юридической практики. С. 17-20.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ДИСКУССИЯ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Иванова Д.В. </w:t>
      </w:r>
      <w:r w:rsidRPr="008C27AD"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Большие данные и право интеллектуальной собственности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. С.21-24.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Зарипова</w:t>
      </w:r>
      <w:proofErr w:type="spellEnd"/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З.Р., Щербакова И.В.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Реализация исключительного права на служебное произведение: социально-правовые аспекты. С.25-29.</w:t>
      </w:r>
    </w:p>
    <w:p w:rsid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Default="008C27AD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ЦИФРОВИЗАЦИЯ И ЭКОНОМИКА ИНТЕЛЛЕКТУАЛЬНОЙ </w:t>
      </w:r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C27AD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СОБСТВЕННОСТИ</w:t>
      </w:r>
    </w:p>
    <w:p w:rsidR="008C27AD" w:rsidRDefault="008C27AD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P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Голобокова</w:t>
      </w:r>
      <w:proofErr w:type="spellEnd"/>
      <w:r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Г.М., Давыдова Г.В., Яковлев А.Н. </w:t>
      </w:r>
      <w:r w:rsidRPr="00F96D99"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>Проблемы инновационного развития нефтедобывающей отрасли на основе интеллектуальной собственности. С. 30-34.</w:t>
      </w:r>
    </w:p>
    <w:p w:rsid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96D99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Масленкова</w:t>
      </w:r>
      <w:proofErr w:type="spellEnd"/>
      <w:r w:rsidRPr="00F96D99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О.Ф.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Кредитование под залог исключительных прав на объекты интеллектуальной собственности в России: динамика, особенности и пути развития. С.35-40.</w:t>
      </w:r>
    </w:p>
    <w:p w:rsid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96D99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Гепанович</w:t>
      </w:r>
      <w:proofErr w:type="spellEnd"/>
      <w:r w:rsidRPr="00F96D99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А.В.</w:t>
      </w:r>
      <w:r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  <w:t xml:space="preserve"> О правовой регламентации распоряжения исключительным правом на объекты интеллектуальной собственности в бюджетном учреждении. С.41-45.</w:t>
      </w:r>
    </w:p>
    <w:p w:rsid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F96D99" w:rsidRPr="00F96D99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F96D99" w:rsidRPr="008C27AD" w:rsidRDefault="00F96D99" w:rsidP="008C27AD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Pr="008C27AD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8C27AD" w:rsidRPr="007457E2" w:rsidRDefault="008C27AD" w:rsidP="007457E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Cs/>
          <w:color w:val="41404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86FFC" w:rsidRPr="00B86FFC" w:rsidRDefault="00B86FFC" w:rsidP="00B86F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28"/>
          <w:szCs w:val="28"/>
          <w:lang w:eastAsia="ru-RU"/>
        </w:rPr>
      </w:pPr>
    </w:p>
    <w:p w:rsidR="00B86FFC" w:rsidRPr="00526CCB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DF2103" w:rsidRPr="00B86FFC" w:rsidRDefault="00F96D99" w:rsidP="00526CCB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sectPr w:rsidR="00DF2103" w:rsidRPr="00B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3F6"/>
    <w:multiLevelType w:val="multilevel"/>
    <w:tmpl w:val="89D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120CB"/>
    <w:multiLevelType w:val="hybridMultilevel"/>
    <w:tmpl w:val="7580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8FA"/>
    <w:multiLevelType w:val="multilevel"/>
    <w:tmpl w:val="A440A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E4541"/>
    <w:multiLevelType w:val="multilevel"/>
    <w:tmpl w:val="122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4672D"/>
    <w:multiLevelType w:val="multilevel"/>
    <w:tmpl w:val="CD76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963AF"/>
    <w:multiLevelType w:val="multilevel"/>
    <w:tmpl w:val="ED5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B0662"/>
    <w:multiLevelType w:val="hybridMultilevel"/>
    <w:tmpl w:val="3498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074B"/>
    <w:multiLevelType w:val="multilevel"/>
    <w:tmpl w:val="E03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79454D"/>
    <w:multiLevelType w:val="multilevel"/>
    <w:tmpl w:val="DA7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454899"/>
    <w:multiLevelType w:val="multilevel"/>
    <w:tmpl w:val="99A6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6E2D3E"/>
    <w:multiLevelType w:val="multilevel"/>
    <w:tmpl w:val="CC32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467575"/>
    <w:multiLevelType w:val="multilevel"/>
    <w:tmpl w:val="BB38D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C0CB7"/>
    <w:multiLevelType w:val="multilevel"/>
    <w:tmpl w:val="D262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B909DE"/>
    <w:multiLevelType w:val="multilevel"/>
    <w:tmpl w:val="88AC9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AE3CD6"/>
    <w:multiLevelType w:val="multilevel"/>
    <w:tmpl w:val="3C3AD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F50B1"/>
    <w:multiLevelType w:val="multilevel"/>
    <w:tmpl w:val="B50A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4013DC"/>
    <w:multiLevelType w:val="multilevel"/>
    <w:tmpl w:val="2E8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BF7B59"/>
    <w:multiLevelType w:val="multilevel"/>
    <w:tmpl w:val="B61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4304E1"/>
    <w:multiLevelType w:val="multilevel"/>
    <w:tmpl w:val="D3E6DB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B48B7"/>
    <w:multiLevelType w:val="multilevel"/>
    <w:tmpl w:val="A3C4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117FBF"/>
    <w:multiLevelType w:val="multilevel"/>
    <w:tmpl w:val="1FB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161675"/>
    <w:multiLevelType w:val="multilevel"/>
    <w:tmpl w:val="936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AC547F"/>
    <w:multiLevelType w:val="multilevel"/>
    <w:tmpl w:val="CC5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E5690F"/>
    <w:multiLevelType w:val="multilevel"/>
    <w:tmpl w:val="762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0E0B19"/>
    <w:multiLevelType w:val="multilevel"/>
    <w:tmpl w:val="F0D6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A34B11"/>
    <w:multiLevelType w:val="multilevel"/>
    <w:tmpl w:val="05B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5200EE"/>
    <w:multiLevelType w:val="multilevel"/>
    <w:tmpl w:val="9D3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814CF4"/>
    <w:multiLevelType w:val="multilevel"/>
    <w:tmpl w:val="F96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0D18DF"/>
    <w:multiLevelType w:val="multilevel"/>
    <w:tmpl w:val="C34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EA2E03"/>
    <w:multiLevelType w:val="multilevel"/>
    <w:tmpl w:val="F02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9036F3"/>
    <w:multiLevelType w:val="multilevel"/>
    <w:tmpl w:val="9E629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C5606"/>
    <w:multiLevelType w:val="multilevel"/>
    <w:tmpl w:val="D2C8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E26D4F"/>
    <w:multiLevelType w:val="multilevel"/>
    <w:tmpl w:val="A1A8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B26675"/>
    <w:multiLevelType w:val="multilevel"/>
    <w:tmpl w:val="CBF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5"/>
  </w:num>
  <w:num w:numId="5">
    <w:abstractNumId w:val="11"/>
  </w:num>
  <w:num w:numId="6">
    <w:abstractNumId w:val="30"/>
  </w:num>
  <w:num w:numId="7">
    <w:abstractNumId w:val="14"/>
  </w:num>
  <w:num w:numId="8">
    <w:abstractNumId w:val="23"/>
  </w:num>
  <w:num w:numId="9">
    <w:abstractNumId w:val="25"/>
  </w:num>
  <w:num w:numId="10">
    <w:abstractNumId w:val="24"/>
  </w:num>
  <w:num w:numId="11">
    <w:abstractNumId w:val="32"/>
  </w:num>
  <w:num w:numId="12">
    <w:abstractNumId w:val="12"/>
  </w:num>
  <w:num w:numId="13">
    <w:abstractNumId w:val="22"/>
  </w:num>
  <w:num w:numId="14">
    <w:abstractNumId w:val="28"/>
  </w:num>
  <w:num w:numId="15">
    <w:abstractNumId w:val="16"/>
  </w:num>
  <w:num w:numId="16">
    <w:abstractNumId w:val="10"/>
  </w:num>
  <w:num w:numId="17">
    <w:abstractNumId w:val="4"/>
  </w:num>
  <w:num w:numId="18">
    <w:abstractNumId w:val="31"/>
  </w:num>
  <w:num w:numId="19">
    <w:abstractNumId w:val="33"/>
  </w:num>
  <w:num w:numId="20">
    <w:abstractNumId w:val="8"/>
  </w:num>
  <w:num w:numId="21">
    <w:abstractNumId w:val="29"/>
  </w:num>
  <w:num w:numId="22">
    <w:abstractNumId w:val="26"/>
  </w:num>
  <w:num w:numId="23">
    <w:abstractNumId w:val="5"/>
  </w:num>
  <w:num w:numId="24">
    <w:abstractNumId w:val="9"/>
  </w:num>
  <w:num w:numId="25">
    <w:abstractNumId w:val="17"/>
  </w:num>
  <w:num w:numId="26">
    <w:abstractNumId w:val="20"/>
  </w:num>
  <w:num w:numId="27">
    <w:abstractNumId w:val="7"/>
  </w:num>
  <w:num w:numId="28">
    <w:abstractNumId w:val="0"/>
  </w:num>
  <w:num w:numId="29">
    <w:abstractNumId w:val="3"/>
  </w:num>
  <w:num w:numId="30">
    <w:abstractNumId w:val="27"/>
  </w:num>
  <w:num w:numId="31">
    <w:abstractNumId w:val="19"/>
  </w:num>
  <w:num w:numId="32">
    <w:abstractNumId w:val="21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1B"/>
    <w:rsid w:val="0007777D"/>
    <w:rsid w:val="001216E8"/>
    <w:rsid w:val="002766C6"/>
    <w:rsid w:val="003C5745"/>
    <w:rsid w:val="00450D98"/>
    <w:rsid w:val="00513436"/>
    <w:rsid w:val="00526CCB"/>
    <w:rsid w:val="0053406A"/>
    <w:rsid w:val="005C3B1B"/>
    <w:rsid w:val="007457E2"/>
    <w:rsid w:val="008C27AD"/>
    <w:rsid w:val="00B86FFC"/>
    <w:rsid w:val="00C36011"/>
    <w:rsid w:val="00F50A99"/>
    <w:rsid w:val="00F71D64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7F01-CDA0-49BB-9836-E2F0D23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1A1A1"/>
                                <w:left w:val="single" w:sz="6" w:space="0" w:color="A1A1A1"/>
                                <w:bottom w:val="single" w:sz="6" w:space="0" w:color="A1A1A1"/>
                                <w:right w:val="single" w:sz="6" w:space="0" w:color="A1A1A1"/>
                              </w:divBdr>
                              <w:divsChild>
                                <w:div w:id="6287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7133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8220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19967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16009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4287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10227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2020-03-20T05:37:00Z</dcterms:created>
  <dcterms:modified xsi:type="dcterms:W3CDTF">2020-03-20T05:37:00Z</dcterms:modified>
</cp:coreProperties>
</file>