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F" w:rsidRPr="00503C12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</w:pPr>
      <w:r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ОБЗОР </w:t>
      </w:r>
      <w:r w:rsidR="0027667F"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СОДЕРЖАНИЯ </w:t>
      </w:r>
      <w:r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ЖУРНА</w:t>
      </w:r>
      <w:r w:rsidR="0027667F"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ЛА</w:t>
      </w:r>
    </w:p>
    <w:p w:rsidR="0027667F" w:rsidRPr="00503C12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</w:pPr>
      <w:r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 </w:t>
      </w:r>
      <w:r w:rsidR="0027667F"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«ИНТЕЛЛЕКТУАЛЬНАЯ СОБСТВЕННОСТЬ: ПРОМЫШЛЕННАЯ СОБСТВЕННОСТЬ»</w:t>
      </w:r>
    </w:p>
    <w:p w:rsidR="00EB61A6" w:rsidRPr="00503C12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</w:pPr>
      <w:r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№№ </w:t>
      </w:r>
      <w:r w:rsidR="00730E91"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9-1</w:t>
      </w:r>
      <w:r w:rsidR="007C7135"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2</w:t>
      </w:r>
      <w:r w:rsidRPr="00503C12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 xml:space="preserve"> / 2019 ГОД</w:t>
      </w:r>
    </w:p>
    <w:p w:rsidR="0027667F" w:rsidRPr="00826709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lang w:eastAsia="ru-RU"/>
        </w:rPr>
      </w:pPr>
    </w:p>
    <w:p w:rsidR="00EB61A6" w:rsidRPr="00826709" w:rsidRDefault="00EB61A6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  <w:r w:rsidRPr="00826709">
        <w:rPr>
          <w:rFonts w:ascii="Arial" w:eastAsia="Times New Roman" w:hAnsi="Arial" w:cs="Arial"/>
          <w:b/>
          <w:color w:val="2B2B2B"/>
          <w:lang w:eastAsia="ru-RU"/>
        </w:rPr>
        <w:t xml:space="preserve">№ </w:t>
      </w:r>
      <w:r w:rsidR="00730E91" w:rsidRPr="00826709">
        <w:rPr>
          <w:rFonts w:ascii="Arial" w:eastAsia="Times New Roman" w:hAnsi="Arial" w:cs="Arial"/>
          <w:b/>
          <w:color w:val="2B2B2B"/>
          <w:lang w:eastAsia="ru-RU"/>
        </w:rPr>
        <w:t>9</w:t>
      </w:r>
      <w:r w:rsidRPr="00826709">
        <w:rPr>
          <w:rFonts w:ascii="Arial" w:eastAsia="Times New Roman" w:hAnsi="Arial" w:cs="Arial"/>
          <w:b/>
          <w:color w:val="2B2B2B"/>
          <w:lang w:eastAsia="ru-RU"/>
        </w:rPr>
        <w:t>, 2019</w:t>
      </w:r>
    </w:p>
    <w:p w:rsidR="00EB61A6" w:rsidRPr="00826709" w:rsidRDefault="00730E91" w:rsidP="000C04B3">
      <w:pPr>
        <w:shd w:val="clear" w:color="auto" w:fill="FFFFFF"/>
        <w:spacing w:before="240" w:after="240" w:line="276" w:lineRule="auto"/>
        <w:rPr>
          <w:rFonts w:ascii="Arial" w:eastAsia="Times New Roman" w:hAnsi="Arial" w:cs="Arial"/>
          <w:color w:val="474747"/>
          <w:lang w:eastAsia="ru-RU"/>
        </w:rPr>
      </w:pPr>
      <w:r w:rsidRPr="00826709">
        <w:rPr>
          <w:rFonts w:ascii="Arial" w:eastAsia="Times New Roman" w:hAnsi="Arial" w:cs="Arial"/>
          <w:noProof/>
          <w:color w:val="474747"/>
          <w:lang w:eastAsia="ru-RU"/>
        </w:rPr>
        <w:drawing>
          <wp:inline distT="0" distB="0" distL="0" distR="0">
            <wp:extent cx="1533525" cy="2168684"/>
            <wp:effectExtent l="0" t="0" r="0" b="3175"/>
            <wp:docPr id="4" name="Рисунок 4" descr="w PS 9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 PS 9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88" cy="219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РЕГИОНАЛЬНАЯ ПОЛИТИКА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Перепечко</w:t>
      </w:r>
      <w:proofErr w:type="spellEnd"/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Л.</w:t>
      </w: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, Цукерблат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Д.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Достижения фундаментальной науки – инновационному развитию региона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Переход на инновационный путь развития является серьезной проблемой современной внутренней и внешней политики России. В числе многочисленных попыток определения векторов инновационного развития особое место занимают разработки социально-экономической стратегии развития на уровне регионов. В Новосибирской области началась организационная перенастройка, внедрение новых форматов работы на основе взаимодействия науки с местными властями и бизнесом. Авторы статьи рассматривают основные направления реализации проекта «Академгородок 2.0», целью которого является обеспечение интеграции территории Новосибирской агломерации с высоким научно-производственным потенциалом научно-образовательного комплекса.</w:t>
      </w:r>
    </w:p>
    <w:p w:rsidR="00730E91" w:rsidRPr="00826709" w:rsidRDefault="00730E91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ПРАВА НА РИД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Семенович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К.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 xml:space="preserve">РИД, созданный в рамках </w:t>
      </w:r>
      <w:proofErr w:type="spellStart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гособоронзаказа</w:t>
      </w:r>
      <w:proofErr w:type="spellEnd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 xml:space="preserve"> на выполнение НИОКР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В статье рассматривается порядок передачи государственному заказчику права на получение патента и исключительного права на РИД, созданный работником организации, выполняющей работы по </w:t>
      </w:r>
      <w:proofErr w:type="spellStart"/>
      <w:r w:rsidRPr="00826709">
        <w:rPr>
          <w:rFonts w:ascii="Arial" w:hAnsi="Arial" w:cs="Arial"/>
          <w:i/>
          <w:color w:val="474747"/>
          <w:sz w:val="22"/>
          <w:szCs w:val="22"/>
        </w:rPr>
        <w:t>гособоронзаказу</w:t>
      </w:r>
      <w:proofErr w:type="spellEnd"/>
      <w:r w:rsidRPr="00826709">
        <w:rPr>
          <w:rFonts w:ascii="Arial" w:hAnsi="Arial" w:cs="Arial"/>
          <w:i/>
          <w:color w:val="474747"/>
          <w:sz w:val="22"/>
          <w:szCs w:val="22"/>
        </w:rPr>
        <w:t>, а также возможность возмещения расходов исполнителя на выплату вознаграждения работникам и уплату патентных пошлин.</w:t>
      </w:r>
    </w:p>
    <w:p w:rsidR="00826709" w:rsidRPr="00826709" w:rsidRDefault="00826709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</w:p>
    <w:p w:rsidR="00730E91" w:rsidRPr="00826709" w:rsidRDefault="00730E91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503C12" w:rsidRDefault="00503C12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503C12" w:rsidRDefault="00503C12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ИСКЛЮЧИТЕЛЬНЫЕ ПРАВА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Краснова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С.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Компенсация за нарушение исключительных прав: казнить нельзя помиловать?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Несовершенство правового регулирования отношений, связанных с взысканием компенсации за нарушение исключительных прав, а также смягчение стандарта доказывания по спорам о возмещении убытков порождают вопрос о целесообразности сохранения данного способа защиты в числе доступных правообладателям средств гражданско-правой защиты. В статье на основе сравнительного анализа компенсации и возмещения убытков делается вывод, что компенсация как специальный способ в большей степени учитывает специфику объекта защиты – исключительных прав. Она обеспечивает правообладателю возможность возмещения имущественных потерь без жесткой привязки к размеру убытков, тем самым повышая вероятность их компенсации в полном объеме. Статистические данные о деятельности Суда по интеллектуальным правам свидетельствуют, что, несмотря на снижение стандарта доказывания, правообладатели предпочитают взыскание компенсации возмещению убытков. В связи с этим более предпочтительным является не изъятие компенсации, а дальнейшее совершенствование механизма ее применения.</w:t>
      </w:r>
    </w:p>
    <w:p w:rsidR="00730E91" w:rsidRPr="00826709" w:rsidRDefault="00730E91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ПАТЕНТОВАНИЕ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Анищенко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В.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Роспатент и его «а </w:t>
      </w:r>
      <w:proofErr w:type="spellStart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certamen</w:t>
      </w:r>
      <w:proofErr w:type="spellEnd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 </w:t>
      </w:r>
      <w:proofErr w:type="spellStart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interest</w:t>
      </w:r>
      <w:proofErr w:type="spellEnd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» (конфликт интересов)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 xml:space="preserve">В статье рассматривается проблема возможного наличия конфликта интересов при оспаривании решений Роспатента в Палате по патентным спорам, указывается на противоречивость </w:t>
      </w:r>
      <w:proofErr w:type="gramStart"/>
      <w:r w:rsidRPr="00826709">
        <w:rPr>
          <w:rFonts w:ascii="Arial" w:hAnsi="Arial" w:cs="Arial"/>
          <w:i/>
          <w:color w:val="474747"/>
          <w:sz w:val="22"/>
          <w:szCs w:val="22"/>
        </w:rPr>
        <w:t>положений</w:t>
      </w:r>
      <w:proofErr w:type="gramEnd"/>
      <w:r w:rsidRPr="00826709">
        <w:rPr>
          <w:rFonts w:ascii="Arial" w:hAnsi="Arial" w:cs="Arial"/>
          <w:i/>
          <w:color w:val="474747"/>
          <w:sz w:val="22"/>
          <w:szCs w:val="22"/>
        </w:rPr>
        <w:t xml:space="preserve"> действующих ненормативных правовых актов, а также предлагаются возможные способы урегулирования указанного организационного конфликта интересов.</w:t>
      </w:r>
    </w:p>
    <w:p w:rsidR="00730E91" w:rsidRPr="00826709" w:rsidRDefault="00730E91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ИННОВАЦИОННАЯ ДЕЯТЕЛЬНОСТЬ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Чайков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М.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Сокращение паразитных бизнес-процессов в сфере интеллектуальной собственности как фактор повышения инновационной активности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Автор в своей статье отмечает большую роль, которая отводится теоретиками и практиками понятию «производительность труда». Приведен краткий обзор высказываний наиболее ярких ученых и руководителей производства, внесших значительный вклад в решение вопросов повышения производительности труда. Предложен новый подход к повышению производительности, основанный на сокращении паразитных (ненужных) бизнес-процессов. Приведены примеры паразитных бизнес-процессов в сфере интеллектуальной собственности. Отмечено, что сокращение такого рода процессов повысит инновационную активность в России из-за высвобождения времени специалистов.</w:t>
      </w:r>
    </w:p>
    <w:p w:rsidR="00730E91" w:rsidRPr="00826709" w:rsidRDefault="00730E91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ЦИФРОВЫЕ ТЕХНОЛОГИИ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Васильева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Ю.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 xml:space="preserve">Тенденции </w:t>
      </w:r>
      <w:proofErr w:type="spellStart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цифровизации</w:t>
      </w:r>
      <w:proofErr w:type="spellEnd"/>
      <w:r w:rsidRPr="00826709">
        <w:rPr>
          <w:rFonts w:ascii="Arial" w:hAnsi="Arial" w:cs="Arial"/>
          <w:b/>
          <w:iCs/>
          <w:color w:val="474747"/>
          <w:sz w:val="22"/>
          <w:szCs w:val="22"/>
        </w:rPr>
        <w:t xml:space="preserve"> в процессах управления интеллектуальной собственностью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lastRenderedPageBreak/>
        <w:t>В настоящее время успешность ведения конкурентной борьбы определяется способностью организаций оперативно внедрять и </w:t>
      </w:r>
      <w:proofErr w:type="spellStart"/>
      <w:r w:rsidRPr="00826709">
        <w:rPr>
          <w:rFonts w:ascii="Arial" w:hAnsi="Arial" w:cs="Arial"/>
          <w:i/>
          <w:color w:val="474747"/>
          <w:sz w:val="22"/>
          <w:szCs w:val="22"/>
        </w:rPr>
        <w:t>коммерциализировать</w:t>
      </w:r>
      <w:proofErr w:type="spellEnd"/>
      <w:r w:rsidRPr="00826709">
        <w:rPr>
          <w:rFonts w:ascii="Arial" w:hAnsi="Arial" w:cs="Arial"/>
          <w:i/>
          <w:color w:val="474747"/>
          <w:sz w:val="22"/>
          <w:szCs w:val="22"/>
        </w:rPr>
        <w:t xml:space="preserve"> инновации, получая сверхприбыли. В статье приведен обзор возможностей использования современных цифровых продуктов, технологий, сервисов и платформ для управления интеллектуальной собственностью и стимулирования инновационного процесса в организациях.</w:t>
      </w:r>
    </w:p>
    <w:p w:rsidR="00730E91" w:rsidRPr="00826709" w:rsidRDefault="00730E91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ОХРАНА ИС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Агамагомедова</w:t>
      </w:r>
      <w:proofErr w:type="spellEnd"/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С.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Государственный контроль и надзор в сфере интеллектуальной собственности: административно-правовая характеристика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В статье рассматриваются критерии классификации направлений контрольно-надзорной деятельности в сфере интеллектуальной собственности. Выделены такие критерии разграничения государственного контроля и надзора в сфере интеллектуальной собственности, как меры юридической ответственности, стадии жизненного цикла объекта интеллектуальной собственности, категория объекта интеллектуальной собственности, статус подконтрольного лица, уровень правовой регламентации и другие. Предложено сконцентрировать контрольно-надзорные функции в руках Роспатента в целях оптимизации существующей системы управления интеллектуальной собственностью.</w:t>
      </w:r>
    </w:p>
    <w:p w:rsidR="00730E91" w:rsidRPr="00826709" w:rsidRDefault="00730E91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МНЕНИЕ СПЕЦИАЛИСТА</w:t>
      </w:r>
    </w:p>
    <w:p w:rsidR="00730E91" w:rsidRPr="00826709" w:rsidRDefault="00730E91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Галифанов</w:t>
      </w:r>
      <w:proofErr w:type="spellEnd"/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Г.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Инновационная экономика: проблемы и решения</w:t>
      </w:r>
    </w:p>
    <w:p w:rsidR="00730E91" w:rsidRPr="00826709" w:rsidRDefault="00826709" w:rsidP="00730E91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 xml:space="preserve">В статье </w:t>
      </w:r>
      <w:r w:rsidR="00730E91" w:rsidRPr="00826709">
        <w:rPr>
          <w:rFonts w:ascii="Arial" w:hAnsi="Arial" w:cs="Arial"/>
          <w:i/>
          <w:color w:val="474747"/>
          <w:sz w:val="22"/>
          <w:szCs w:val="22"/>
        </w:rPr>
        <w:t>рассмотрены существующие проблемы инновационной экономики России и пути их решения. Кратко разъяснена суть понятий «инновация» и «</w:t>
      </w:r>
      <w:proofErr w:type="spellStart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>инноватор</w:t>
      </w:r>
      <w:proofErr w:type="spellEnd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>». Проанализированы причины, сдерживающие освоение инноваций, в том числе: опасения финансовых потерь; консерватизм; бюрократизм; слабость законодательной базы; проблемы с выплатой вознаграждений авторам и </w:t>
      </w:r>
      <w:proofErr w:type="spellStart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>инноваторам</w:t>
      </w:r>
      <w:proofErr w:type="spellEnd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 xml:space="preserve">; разбазаривание средств; падение престижа научно-изобретательской работы; опора на экспорт сырьевых ресурсов; недостаточное финансовое и материальное обеспечение НИОКР; слабая поддержка крупным бизнесом НИОКР; </w:t>
      </w:r>
      <w:proofErr w:type="spellStart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>невостребованность</w:t>
      </w:r>
      <w:proofErr w:type="spellEnd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 xml:space="preserve"> труда ученых, изобретателей и </w:t>
      </w:r>
      <w:proofErr w:type="spellStart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>инноваторов</w:t>
      </w:r>
      <w:proofErr w:type="spellEnd"/>
      <w:r w:rsidR="00730E91" w:rsidRPr="00826709">
        <w:rPr>
          <w:rFonts w:ascii="Arial" w:hAnsi="Arial" w:cs="Arial"/>
          <w:i/>
          <w:color w:val="474747"/>
          <w:sz w:val="22"/>
          <w:szCs w:val="22"/>
        </w:rPr>
        <w:t>. Приведены примеры неблагожелательного отношения к инновациям. Рассмотрено соотношение доли частных и государственных инвестиций в НИОКР в различных странах. Обоснована необходимость коммерциализации НТД лицами, обладающими талантом предприимчивости. Показано воздействие внутренней свободы творчества и благожелательной атмосферы на генерирование и коммерциализацию НТД. Описаны условия работы, льготы и механизм взаимодействия малого и крупного бизнеса в развитых странах. Показано, что нарастающее отставание в высокотехнологичных отраслях экономики может создать угрозы суверенитету России. Рассмотрено состояние военной науки в результате либеральных реформ. Дан краткий обзор существующих и потенциальных разработок в военной области и приведены меры по укреплению отечественной военной науки.</w:t>
      </w:r>
    </w:p>
    <w:p w:rsidR="000C04B3" w:rsidRPr="00826709" w:rsidRDefault="000C04B3" w:rsidP="000C04B3">
      <w:pPr>
        <w:shd w:val="clear" w:color="auto" w:fill="FFFFFF"/>
        <w:spacing w:before="240" w:after="240" w:line="276" w:lineRule="auto"/>
        <w:rPr>
          <w:rFonts w:ascii="Arial" w:eastAsia="Times New Roman" w:hAnsi="Arial" w:cs="Arial"/>
          <w:b/>
          <w:bCs/>
          <w:caps/>
          <w:color w:val="474747"/>
          <w:lang w:eastAsia="ru-RU"/>
        </w:rPr>
      </w:pPr>
    </w:p>
    <w:p w:rsidR="00EB61A6" w:rsidRPr="00826709" w:rsidRDefault="00EB61A6" w:rsidP="000C04B3">
      <w:pPr>
        <w:shd w:val="clear" w:color="auto" w:fill="FFFFFF"/>
        <w:spacing w:before="240" w:after="240" w:line="276" w:lineRule="auto"/>
        <w:jc w:val="center"/>
        <w:rPr>
          <w:rFonts w:ascii="Arial" w:eastAsia="Times New Roman" w:hAnsi="Arial" w:cs="Arial"/>
          <w:color w:val="474747"/>
          <w:lang w:eastAsia="ru-RU"/>
        </w:rPr>
      </w:pPr>
      <w:r w:rsidRPr="00826709">
        <w:rPr>
          <w:rFonts w:ascii="Arial" w:eastAsia="Times New Roman" w:hAnsi="Arial" w:cs="Arial"/>
          <w:color w:val="474747"/>
          <w:lang w:eastAsia="ru-RU"/>
        </w:rPr>
        <w:t>* * *</w:t>
      </w:r>
    </w:p>
    <w:p w:rsidR="00826709" w:rsidRPr="00826709" w:rsidRDefault="00826709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</w:p>
    <w:p w:rsidR="001A5003" w:rsidRDefault="001A500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</w:p>
    <w:p w:rsidR="001A5003" w:rsidRDefault="001A500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</w:p>
    <w:p w:rsidR="001A5003" w:rsidRDefault="001A5003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</w:p>
    <w:p w:rsidR="005F7E8B" w:rsidRPr="00826709" w:rsidRDefault="00E161C6" w:rsidP="000C04B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  <w:r w:rsidRPr="00826709">
        <w:rPr>
          <w:rFonts w:ascii="Arial" w:eastAsia="Times New Roman" w:hAnsi="Arial" w:cs="Arial"/>
          <w:b/>
          <w:color w:val="2B2B2B"/>
          <w:lang w:eastAsia="ru-RU"/>
        </w:rPr>
        <w:t xml:space="preserve">№ </w:t>
      </w:r>
      <w:r w:rsidR="00730E91" w:rsidRPr="00826709">
        <w:rPr>
          <w:rFonts w:ascii="Arial" w:eastAsia="Times New Roman" w:hAnsi="Arial" w:cs="Arial"/>
          <w:b/>
          <w:color w:val="2B2B2B"/>
          <w:lang w:eastAsia="ru-RU"/>
        </w:rPr>
        <w:t>10</w:t>
      </w:r>
      <w:r w:rsidR="005F7E8B" w:rsidRPr="00826709">
        <w:rPr>
          <w:rFonts w:ascii="Arial" w:eastAsia="Times New Roman" w:hAnsi="Arial" w:cs="Arial"/>
          <w:b/>
          <w:color w:val="2B2B2B"/>
          <w:lang w:eastAsia="ru-RU"/>
        </w:rPr>
        <w:t>, 2019</w:t>
      </w:r>
    </w:p>
    <w:p w:rsidR="00730E91" w:rsidRDefault="00826709" w:rsidP="00730E91">
      <w:pPr>
        <w:shd w:val="clear" w:color="auto" w:fill="FFFFFF"/>
        <w:spacing w:before="240" w:after="240" w:line="276" w:lineRule="auto"/>
        <w:rPr>
          <w:rFonts w:ascii="Arial" w:hAnsi="Arial" w:cs="Arial"/>
          <w:i/>
          <w:color w:val="474747"/>
        </w:rPr>
      </w:pPr>
      <w:r>
        <w:rPr>
          <w:noProof/>
          <w:lang w:eastAsia="ru-RU"/>
        </w:rPr>
        <w:drawing>
          <wp:inline distT="0" distB="0" distL="0" distR="0" wp14:anchorId="15889D5F" wp14:editId="65FE8632">
            <wp:extent cx="1508717" cy="2133600"/>
            <wp:effectExtent l="0" t="0" r="0" b="0"/>
            <wp:docPr id="5" name="Рисунок 5" descr="w PS 10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 PS 10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26" cy="21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ИННОВАЦИОННОЕ РАЗВИТИЕ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Кохно</w:t>
      </w:r>
      <w:proofErr w:type="spellEnd"/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П.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Механизмы и инструменты управления инновационным развитием промышленных предприятий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В статье обосновывается, что для успешной инновационной деятельности промышленных предприятий необходимо выявление и использование всех факторов, которые способны оказать положительное влияние на повышение эффективности управления инновационным потенциалом. Инновационный потенциал предприятия представляет собой совокупность его отдельных элементов. Он состоит из интеллектуального потенциала, а также включает в себя кадровый, материально-технический, рыночный и финансовый элементы. Инновационная активность и конкурентоспособность отечественных предприятий во многом зависят от уровня развития и состояния инновационного потенциала предприятия. Организационный механизм управления инновационным потенциалом с учетом скрытых инноваций представляет собой систему организационно-экономических мероприятий, направленных на выявление и реализацию скрытых идей и возможностей.</w:t>
      </w:r>
    </w:p>
    <w:p w:rsidR="00826709" w:rsidRPr="00826709" w:rsidRDefault="00826709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ЗАРУБЕЖНОЕ ЗАКОНОДАТЕЛЬСТВО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Еременко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В.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О правовой охране промышленной собственности в Исламской Республике Иран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В статье исследованы вопросы правовой охраны объектов промышленной собственности в Иране, в частности, изобретений, промышленных образцов, товарных знаков и географических указаний.</w:t>
      </w:r>
    </w:p>
    <w:p w:rsidR="00826709" w:rsidRPr="00826709" w:rsidRDefault="00826709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ИЗОБРЕТАТЕЛЬСТВО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Шлойдо</w:t>
      </w:r>
      <w:proofErr w:type="spellEnd"/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Г.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Авторские свидетельства СССР на изобретение как общедоступный источник информации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 xml:space="preserve">В статье рассмотрены проблемы использования информации об изобретениях, удостоверенных авторскими свидетельствами СССР, в условиях рыночной экономики. Особое внимание обращено на формирование прогнозов развития науки и техники </w:t>
      </w:r>
      <w:r w:rsidRPr="00826709">
        <w:rPr>
          <w:rFonts w:ascii="Arial" w:hAnsi="Arial" w:cs="Arial"/>
          <w:i/>
          <w:color w:val="474747"/>
          <w:sz w:val="22"/>
          <w:szCs w:val="22"/>
        </w:rPr>
        <w:lastRenderedPageBreak/>
        <w:t>на основе общедоступной технической информации, которая часто не раскрывается ни в каких других публикациях, кроме патентной документации.</w:t>
      </w:r>
    </w:p>
    <w:p w:rsidR="00826709" w:rsidRPr="00826709" w:rsidRDefault="00826709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СУДЕБНАЯ ПРАКТИКА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Гаврюшкин</w:t>
      </w:r>
      <w:proofErr w:type="spellEnd"/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С.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826709">
        <w:rPr>
          <w:rFonts w:ascii="Arial" w:hAnsi="Arial" w:cs="Arial"/>
          <w:b/>
          <w:iCs/>
          <w:color w:val="474747"/>
          <w:sz w:val="22"/>
          <w:szCs w:val="22"/>
        </w:rPr>
        <w:t>Интеллектуальная собственность: личное право и публичный интерес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826709">
        <w:rPr>
          <w:rFonts w:ascii="Arial" w:hAnsi="Arial" w:cs="Arial"/>
          <w:i/>
          <w:color w:val="474747"/>
          <w:sz w:val="22"/>
          <w:szCs w:val="22"/>
        </w:rPr>
        <w:t>Интеллектуальная собственность была известна еще древнеримскому и древнегреческому праву. С течением времени это понятие уточнялось и расширялось, претерпевало различные трактовки. Но даже в наши дни судебная практика, касающаяся интеллектуальной собственности, неоднозначна. Более того, развитие общества и экономики нередко создает конфликт между публичной собственностью и исключительными правами автора. Статья посвящена эволюции интеллектуальной собственности и соотношению публичного права и результатов интеллектуальной деятельности.</w:t>
      </w:r>
    </w:p>
    <w:p w:rsidR="00826709" w:rsidRPr="00826709" w:rsidRDefault="00826709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ПРОМЫШЛЕННЫЕ ОБРАЗЦЫ</w:t>
      </w:r>
    </w:p>
    <w:p w:rsidR="00826709" w:rsidRPr="000A349C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Гербер</w:t>
      </w:r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И.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0A349C">
        <w:rPr>
          <w:rFonts w:ascii="Arial" w:hAnsi="Arial" w:cs="Arial"/>
          <w:b/>
          <w:iCs/>
          <w:color w:val="474747"/>
          <w:sz w:val="22"/>
          <w:szCs w:val="22"/>
        </w:rPr>
        <w:t>Составление динамических рядов по промышленным образцам в странах СНГ (на примере обуви и кожгалантерейных изделий)</w:t>
      </w:r>
    </w:p>
    <w:p w:rsidR="00826709" w:rsidRPr="000A349C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0A349C">
        <w:rPr>
          <w:rFonts w:ascii="Arial" w:hAnsi="Arial" w:cs="Arial"/>
          <w:i/>
          <w:color w:val="474747"/>
          <w:sz w:val="22"/>
          <w:szCs w:val="22"/>
        </w:rPr>
        <w:t>В статье ставится задача составить статистические данные по патентам на промышленные образцы в странах СНГ на примере обуви, деталей обуви и кожгалантерейных изделий. На основании полученных данных установлено, что в данной области лидирует Российская Федерация. Делается вывод, что тематика статьи имеет междисциплинарный характер.</w:t>
      </w:r>
    </w:p>
    <w:p w:rsidR="00826709" w:rsidRPr="00826709" w:rsidRDefault="00826709" w:rsidP="001A5003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color w:val="474747"/>
          <w:sz w:val="22"/>
          <w:szCs w:val="22"/>
        </w:rPr>
        <w:t>* * *</w:t>
      </w:r>
    </w:p>
    <w:p w:rsidR="00826709" w:rsidRPr="00826709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826709">
        <w:rPr>
          <w:rFonts w:ascii="Arial" w:hAnsi="Arial" w:cs="Arial"/>
          <w:b/>
          <w:bCs/>
          <w:caps/>
          <w:color w:val="474747"/>
          <w:sz w:val="22"/>
          <w:szCs w:val="22"/>
        </w:rPr>
        <w:t>МНЕНИЕ СПЕЦИАЛИСТА</w:t>
      </w:r>
    </w:p>
    <w:p w:rsidR="00826709" w:rsidRPr="000A349C" w:rsidRDefault="00826709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826709">
        <w:rPr>
          <w:rFonts w:ascii="Arial" w:hAnsi="Arial" w:cs="Arial"/>
          <w:b/>
          <w:bCs/>
          <w:color w:val="474747"/>
          <w:sz w:val="22"/>
          <w:szCs w:val="22"/>
        </w:rPr>
        <w:t>Галифанов</w:t>
      </w:r>
      <w:proofErr w:type="spellEnd"/>
      <w:r w:rsidR="001A5003" w:rsidRP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="001A5003" w:rsidRPr="00826709">
        <w:rPr>
          <w:rFonts w:ascii="Arial" w:hAnsi="Arial" w:cs="Arial"/>
          <w:b/>
          <w:bCs/>
          <w:color w:val="474747"/>
          <w:sz w:val="22"/>
          <w:szCs w:val="22"/>
        </w:rPr>
        <w:t>Г.</w:t>
      </w:r>
      <w:r w:rsidR="001A5003">
        <w:rPr>
          <w:rFonts w:ascii="Arial" w:hAnsi="Arial" w:cs="Arial"/>
          <w:b/>
          <w:bCs/>
          <w:color w:val="474747"/>
          <w:sz w:val="22"/>
          <w:szCs w:val="22"/>
        </w:rPr>
        <w:t xml:space="preserve"> </w:t>
      </w:r>
      <w:r w:rsidRPr="000A349C">
        <w:rPr>
          <w:rFonts w:ascii="Arial" w:hAnsi="Arial" w:cs="Arial"/>
          <w:b/>
          <w:iCs/>
          <w:color w:val="474747"/>
          <w:sz w:val="22"/>
          <w:szCs w:val="22"/>
        </w:rPr>
        <w:t>Инновационная экономика: проблемы и решения</w:t>
      </w:r>
    </w:p>
    <w:p w:rsidR="00826709" w:rsidRDefault="000A349C" w:rsidP="00826709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0A349C">
        <w:rPr>
          <w:rFonts w:ascii="Arial" w:hAnsi="Arial" w:cs="Arial"/>
          <w:i/>
          <w:color w:val="474747"/>
          <w:sz w:val="22"/>
          <w:szCs w:val="22"/>
        </w:rPr>
        <w:t xml:space="preserve">В статье </w:t>
      </w:r>
      <w:r w:rsidR="00826709" w:rsidRPr="000A349C">
        <w:rPr>
          <w:rFonts w:ascii="Arial" w:hAnsi="Arial" w:cs="Arial"/>
          <w:i/>
          <w:color w:val="474747"/>
          <w:sz w:val="22"/>
          <w:szCs w:val="22"/>
        </w:rPr>
        <w:t>рассмотрены существующие проблемы инновационной экономики России и пути их решения. Кратко разъяснена суть понятий «инновация» и «</w:t>
      </w:r>
      <w:proofErr w:type="spellStart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>инноватор</w:t>
      </w:r>
      <w:proofErr w:type="spellEnd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>». Проанализированы причины, сдерживающие освоение инноваций, в том числе: опасения финансовых потерь; консерватизм; бюрократизм; слабость законодательной базы; проблемы с выплатой вознаграждений авторам и </w:t>
      </w:r>
      <w:proofErr w:type="spellStart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>инноваторам</w:t>
      </w:r>
      <w:proofErr w:type="spellEnd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 xml:space="preserve">; разбазаривание средств; падение престижа научно-изобретательской работы; опора на экспорт сырьевых ресурсов; недостаточное финансовое и материальное обеспечение НИОКР; слабая поддержка крупным бизнесом НИОКР; </w:t>
      </w:r>
      <w:proofErr w:type="spellStart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>невостребованность</w:t>
      </w:r>
      <w:proofErr w:type="spellEnd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 xml:space="preserve"> труда ученых, изобретателей и </w:t>
      </w:r>
      <w:proofErr w:type="spellStart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>инноваторов</w:t>
      </w:r>
      <w:proofErr w:type="spellEnd"/>
      <w:r w:rsidR="00826709" w:rsidRPr="000A349C">
        <w:rPr>
          <w:rFonts w:ascii="Arial" w:hAnsi="Arial" w:cs="Arial"/>
          <w:i/>
          <w:color w:val="474747"/>
          <w:sz w:val="22"/>
          <w:szCs w:val="22"/>
        </w:rPr>
        <w:t>. Приведены примеры неблагожелательного отношения к инновациям. Рассмотрено соотношение доли частных и государственных инвестиций в НИОКР в различных странах. Обоснована необходимость коммерциализации НТД лицами, обладающими талантом предприимчивости. Показано воздействие внутренней свободы творчества и благожелательной атмосферы на генерирование и коммерциализацию НТД. Описаны условия работы, льготы и механизм взаимодействия малого и крупного бизнеса в развитых странах. Показано, что нарастающее отставание в высокотехнологичных отраслях экономики может создать угрозы суверенитету России. Рассмотрено состояние военной науки в результате либеральных реформ. Дан краткий обзор существующих и потенциальных разработок в военной области и приведены меры по укреплению отечественной военной науки.</w:t>
      </w:r>
    </w:p>
    <w:p w:rsidR="00503C12" w:rsidRDefault="00503C12" w:rsidP="001A500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</w:p>
    <w:p w:rsidR="00503C12" w:rsidRDefault="00503C12" w:rsidP="001A500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</w:p>
    <w:p w:rsidR="001A5003" w:rsidRDefault="001A5003" w:rsidP="001A500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  <w:r w:rsidRPr="00826709">
        <w:rPr>
          <w:rFonts w:ascii="Arial" w:eastAsia="Times New Roman" w:hAnsi="Arial" w:cs="Arial"/>
          <w:b/>
          <w:color w:val="2B2B2B"/>
          <w:lang w:eastAsia="ru-RU"/>
        </w:rPr>
        <w:t>№ 1</w:t>
      </w:r>
      <w:r>
        <w:rPr>
          <w:rFonts w:ascii="Arial" w:eastAsia="Times New Roman" w:hAnsi="Arial" w:cs="Arial"/>
          <w:b/>
          <w:color w:val="2B2B2B"/>
          <w:lang w:eastAsia="ru-RU"/>
        </w:rPr>
        <w:t>1</w:t>
      </w:r>
      <w:r w:rsidRPr="00826709">
        <w:rPr>
          <w:rFonts w:ascii="Arial" w:eastAsia="Times New Roman" w:hAnsi="Arial" w:cs="Arial"/>
          <w:b/>
          <w:color w:val="2B2B2B"/>
          <w:lang w:eastAsia="ru-RU"/>
        </w:rPr>
        <w:t>, 2019</w:t>
      </w:r>
    </w:p>
    <w:p w:rsidR="001A5003" w:rsidRDefault="001A5003" w:rsidP="001A500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</w:p>
    <w:p w:rsidR="001A5003" w:rsidRPr="00826709" w:rsidRDefault="001A5003" w:rsidP="001A500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  <w:r w:rsidRPr="001A5003">
        <w:rPr>
          <w:rFonts w:ascii="Arial" w:eastAsia="Times New Roman" w:hAnsi="Arial" w:cs="Arial"/>
          <w:b/>
          <w:noProof/>
          <w:color w:val="2B2B2B"/>
          <w:lang w:eastAsia="ru-RU"/>
        </w:rPr>
        <w:drawing>
          <wp:inline distT="0" distB="0" distL="0" distR="0">
            <wp:extent cx="1677099" cy="2371725"/>
            <wp:effectExtent l="0" t="0" r="0" b="0"/>
            <wp:docPr id="1" name="Рисунок 1" descr="w PS 11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PS 11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71" cy="23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03" w:rsidRPr="00933FD6" w:rsidRDefault="001A5003" w:rsidP="001A5003">
      <w:pPr>
        <w:pStyle w:val="01"/>
        <w:rPr>
          <w:rFonts w:ascii="Arial" w:hAnsi="Arial" w:cs="Arial"/>
          <w:color w:val="474747"/>
          <w:sz w:val="22"/>
          <w:szCs w:val="22"/>
        </w:rPr>
      </w:pP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ЗАЩИТА ИС</w:t>
      </w: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Шугуров</w:t>
      </w:r>
      <w:proofErr w:type="spellEnd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 М. </w:t>
      </w:r>
      <w:r w:rsidRPr="00933FD6">
        <w:rPr>
          <w:rFonts w:ascii="Arial" w:hAnsi="Arial" w:cs="Arial"/>
          <w:b/>
          <w:iCs/>
          <w:color w:val="474747"/>
          <w:sz w:val="22"/>
          <w:szCs w:val="22"/>
        </w:rPr>
        <w:t>Перспективы формирования цифрового рынка интеллектуальной собственности в Евразийском экономическом союзе</w:t>
      </w:r>
    </w:p>
    <w:p w:rsidR="001A5003" w:rsidRPr="00933FD6" w:rsidRDefault="001A5003" w:rsidP="001A5003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proofErr w:type="gramStart"/>
      <w:r w:rsidRPr="00933FD6">
        <w:rPr>
          <w:rFonts w:ascii="Arial" w:hAnsi="Arial" w:cs="Arial"/>
          <w:i/>
          <w:color w:val="474747"/>
          <w:sz w:val="22"/>
          <w:szCs w:val="22"/>
        </w:rPr>
        <w:t>В  статье</w:t>
      </w:r>
      <w:proofErr w:type="gramEnd"/>
      <w:r w:rsidRPr="00933FD6">
        <w:rPr>
          <w:rFonts w:ascii="Arial" w:hAnsi="Arial" w:cs="Arial"/>
          <w:i/>
          <w:color w:val="474747"/>
          <w:sz w:val="22"/>
          <w:szCs w:val="22"/>
        </w:rPr>
        <w:t xml:space="preserve"> </w:t>
      </w:r>
      <w:proofErr w:type="spellStart"/>
      <w:r w:rsidRPr="00933FD6">
        <w:rPr>
          <w:rFonts w:ascii="Arial" w:hAnsi="Arial" w:cs="Arial"/>
          <w:i/>
          <w:color w:val="474747"/>
          <w:sz w:val="22"/>
          <w:szCs w:val="22"/>
        </w:rPr>
        <w:t>рассматриваеются</w:t>
      </w:r>
      <w:proofErr w:type="spellEnd"/>
      <w:r w:rsidRPr="00933FD6">
        <w:rPr>
          <w:rFonts w:ascii="Arial" w:hAnsi="Arial" w:cs="Arial"/>
          <w:i/>
          <w:color w:val="474747"/>
          <w:sz w:val="22"/>
          <w:szCs w:val="22"/>
        </w:rPr>
        <w:t xml:space="preserve"> вопросы динамики развития рынка интеллектуальной собственности в государствах – членах Евразийского экономического союза сквозь призму реализации повестки цифровых трансформаций. Автор систематизирует общие проблемы, с которыми сталкиваются государства-члены в процессе совершенствования рыночных механизмов в сфере оборота охраняемых результатов интеллектуальной деятельности и исключительных прав на них. Особое внимание уделяется возможностям и перспективам </w:t>
      </w:r>
      <w:proofErr w:type="spellStart"/>
      <w:r w:rsidRPr="00933FD6">
        <w:rPr>
          <w:rFonts w:ascii="Arial" w:hAnsi="Arial" w:cs="Arial"/>
          <w:i/>
          <w:color w:val="474747"/>
          <w:sz w:val="22"/>
          <w:szCs w:val="22"/>
        </w:rPr>
        <w:t>цифровизации</w:t>
      </w:r>
      <w:proofErr w:type="spellEnd"/>
      <w:r w:rsidRPr="00933FD6">
        <w:rPr>
          <w:rFonts w:ascii="Arial" w:hAnsi="Arial" w:cs="Arial"/>
          <w:i/>
          <w:color w:val="474747"/>
          <w:sz w:val="22"/>
          <w:szCs w:val="22"/>
        </w:rPr>
        <w:t xml:space="preserve"> инфраструктуры данного рынка на основе использования платформенных решений. Работа выполнена при финансовой поддержке РФФИ (проект № 19-011-00805 «Развитие права интеллектуальной собственности ЕАЭС и ЕС в рамках региональных моделей цифровой трансформации экономики: сравнительно-правовой анализ»).</w:t>
      </w:r>
    </w:p>
    <w:p w:rsidR="001A5003" w:rsidRPr="00933FD6" w:rsidRDefault="001A5003" w:rsidP="001A5003">
      <w:pPr>
        <w:pStyle w:val="01"/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1A5003" w:rsidRPr="00933FD6" w:rsidRDefault="001A5003" w:rsidP="001A5003">
      <w:pPr>
        <w:pStyle w:val="01"/>
        <w:rPr>
          <w:rFonts w:ascii="Arial" w:hAnsi="Arial" w:cs="Arial"/>
          <w:color w:val="474747"/>
          <w:sz w:val="22"/>
          <w:szCs w:val="22"/>
        </w:rPr>
      </w:pP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ЗАРУБЕЖНЫЙ ОПЫТ</w:t>
      </w: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Капран</w:t>
      </w:r>
      <w:proofErr w:type="spellEnd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 Н. </w:t>
      </w:r>
      <w:r w:rsidRPr="00933FD6">
        <w:rPr>
          <w:rFonts w:ascii="Arial" w:hAnsi="Arial" w:cs="Arial"/>
          <w:b/>
          <w:iCs/>
          <w:color w:val="474747"/>
          <w:sz w:val="22"/>
          <w:szCs w:val="22"/>
        </w:rPr>
        <w:t>О необходимости федерального закона о поддержке развития изобретательства</w:t>
      </w:r>
    </w:p>
    <w:p w:rsidR="001A5003" w:rsidRPr="00933FD6" w:rsidRDefault="001A5003" w:rsidP="001A5003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В статье показан относительно невысокий и не растущий уровень изобретательской активности в Российской Федерации, приведено содержание корейского закона о продвижении изобретательства и сделан вывод о необходимости принятия подобного федерального закона в Российской Федерации.</w:t>
      </w:r>
    </w:p>
    <w:p w:rsidR="001A5003" w:rsidRPr="00933FD6" w:rsidRDefault="001A5003" w:rsidP="001A5003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Ключевые слова: изобретательская активность, интеллектуальная собственность, продвижение изобретательства.</w:t>
      </w:r>
    </w:p>
    <w:p w:rsidR="001A5003" w:rsidRPr="00933FD6" w:rsidRDefault="001A5003" w:rsidP="001A5003">
      <w:pPr>
        <w:pStyle w:val="01"/>
        <w:tabs>
          <w:tab w:val="left" w:pos="825"/>
        </w:tabs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503C12" w:rsidRDefault="00503C12" w:rsidP="001A5003">
      <w:pPr>
        <w:pStyle w:val="01"/>
        <w:rPr>
          <w:rFonts w:ascii="Arial" w:hAnsi="Arial" w:cs="Arial"/>
          <w:b/>
          <w:bCs/>
          <w:color w:val="474747"/>
          <w:sz w:val="22"/>
          <w:szCs w:val="22"/>
        </w:rPr>
      </w:pPr>
    </w:p>
    <w:p w:rsidR="00503C12" w:rsidRDefault="00503C12" w:rsidP="001A5003">
      <w:pPr>
        <w:pStyle w:val="01"/>
        <w:rPr>
          <w:rFonts w:ascii="Arial" w:hAnsi="Arial" w:cs="Arial"/>
          <w:b/>
          <w:bCs/>
          <w:color w:val="474747"/>
          <w:sz w:val="22"/>
          <w:szCs w:val="22"/>
        </w:rPr>
      </w:pP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СТАТИСТИКА ИС</w:t>
      </w: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Иванова М., Дудко Д. </w:t>
      </w:r>
      <w:r w:rsidRPr="00933FD6">
        <w:rPr>
          <w:rFonts w:ascii="Arial" w:hAnsi="Arial" w:cs="Arial"/>
          <w:b/>
          <w:iCs/>
          <w:color w:val="474747"/>
          <w:sz w:val="22"/>
          <w:szCs w:val="22"/>
        </w:rPr>
        <w:t>К вопросу о статистическом наблюдении за использованием интеллектуальной собственности</w:t>
      </w:r>
    </w:p>
    <w:p w:rsidR="001A5003" w:rsidRPr="00933FD6" w:rsidRDefault="001A5003" w:rsidP="001A5003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Авторы рассматривают вопросы, связанные с понятиями введения/вовлечения в гражданский и хозяйственный оборот объектов интеллектуальной собственности, а также предлагают ряд статистических инструментов для измерения этих процессов. Авторами проделан глубокий количественный анализ динамики использования РИД по форме № 4-НТ (перечень) в сравнении с динамикой подачи заявок и выдачей Роспатентом охранных документов на рассматриваемую группу объектов. Статья снабжена таблицами со свежими статистическими данными и графиками, выполненными для иллюстрации проведенного исследования.</w:t>
      </w:r>
    </w:p>
    <w:p w:rsidR="001A5003" w:rsidRPr="00933FD6" w:rsidRDefault="001A5003" w:rsidP="00933FD6">
      <w:pPr>
        <w:pStyle w:val="01"/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1A5003" w:rsidRPr="00933FD6" w:rsidRDefault="001A5003" w:rsidP="001A5003">
      <w:pPr>
        <w:pStyle w:val="01"/>
        <w:rPr>
          <w:rFonts w:ascii="Arial" w:hAnsi="Arial" w:cs="Arial"/>
          <w:color w:val="474747"/>
          <w:sz w:val="22"/>
          <w:szCs w:val="22"/>
        </w:rPr>
      </w:pP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ТОВАРНЫЕ ЗНАКИ</w:t>
      </w: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Ворожевич</w:t>
      </w:r>
      <w:proofErr w:type="spellEnd"/>
      <w:r w:rsidR="00933FD6"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 А. </w:t>
      </w:r>
      <w:r w:rsidRPr="00933FD6">
        <w:rPr>
          <w:rFonts w:ascii="Arial" w:hAnsi="Arial" w:cs="Arial"/>
          <w:b/>
          <w:iCs/>
          <w:color w:val="474747"/>
          <w:sz w:val="22"/>
          <w:szCs w:val="22"/>
        </w:rPr>
        <w:t>Граница исключительных прав на товарные знаки. Значение репутации (гудвилл) товарных знаков</w:t>
      </w:r>
    </w:p>
    <w:p w:rsidR="001A5003" w:rsidRPr="00933FD6" w:rsidRDefault="001A5003" w:rsidP="001A5003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Автор в своей статье рассматривает сущность и специфику временных, содержательных и объектных границ авторского права, анализирует проблемы, связанные с установлением таких границ. Исследование выполнено при финансовой поддержке Российского фонда фундаментальных исследований в рамках научного проекта № 18-011-00408.</w:t>
      </w:r>
    </w:p>
    <w:p w:rsidR="001A5003" w:rsidRPr="00933FD6" w:rsidRDefault="001A5003" w:rsidP="00933FD6">
      <w:pPr>
        <w:pStyle w:val="01"/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ИЗОБРЕТАТЕЛЬСКАЯ ДЕЯТЕЛЬНОСТЬ</w:t>
      </w: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Галифанов</w:t>
      </w:r>
      <w:proofErr w:type="spellEnd"/>
      <w:r w:rsidR="00933FD6"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 Р.</w:t>
      </w: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, </w:t>
      </w:r>
      <w:proofErr w:type="spellStart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Карлиев</w:t>
      </w:r>
      <w:proofErr w:type="spellEnd"/>
      <w:r w:rsidR="00933FD6"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 Р. </w:t>
      </w:r>
      <w:r w:rsidRPr="00933FD6">
        <w:rPr>
          <w:rFonts w:ascii="Arial" w:hAnsi="Arial" w:cs="Arial"/>
          <w:b/>
          <w:iCs/>
          <w:color w:val="474747"/>
          <w:sz w:val="22"/>
          <w:szCs w:val="22"/>
        </w:rPr>
        <w:t>Авторское вознаграждение за создание и использование служебных изобретений</w:t>
      </w:r>
    </w:p>
    <w:p w:rsidR="001A5003" w:rsidRPr="00933FD6" w:rsidRDefault="00933FD6" w:rsidP="001A5003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 xml:space="preserve">Авторы </w:t>
      </w:r>
      <w:r w:rsidR="001A5003" w:rsidRPr="00933FD6">
        <w:rPr>
          <w:rFonts w:ascii="Arial" w:hAnsi="Arial" w:cs="Arial"/>
          <w:i/>
          <w:color w:val="474747"/>
          <w:sz w:val="22"/>
          <w:szCs w:val="22"/>
        </w:rPr>
        <w:t>в своей статье показывают, что превращение творчества ученых и изобретателей в удовлетворяющую нужды общества преобразующую силу возможно лишь в союзе с талантливыми управленцами. Доказано, что количество поданных заявок на патентование изобретений не отражает истинный изобретательский потенциал российского народа, для раскрытия которого необходимо введение льготных условий патентования изобретений и укрепление предприятий талантливыми управленцами. Выявлены существующие недостатки в практике вознаграждения работников за создание и использование служебных изобретений и даны рекомендации по их устранению. Показано, что во взаимоотношениях с работником, в том числе в вопросах вознаграждения, ведущую роль как в позитивном, так и в негативном плане играет работодатель, причем сдвиг негативных факторов в позитивные возможен при руководстве предприятием талантливым управленцем.</w:t>
      </w:r>
    </w:p>
    <w:p w:rsidR="00503C12" w:rsidRDefault="00503C12" w:rsidP="00933FD6">
      <w:pPr>
        <w:pStyle w:val="01"/>
        <w:jc w:val="center"/>
        <w:rPr>
          <w:rFonts w:ascii="Arial" w:hAnsi="Arial" w:cs="Arial"/>
          <w:i/>
          <w:color w:val="474747"/>
          <w:sz w:val="22"/>
          <w:szCs w:val="22"/>
        </w:rPr>
      </w:pPr>
    </w:p>
    <w:p w:rsidR="001A5003" w:rsidRPr="00933FD6" w:rsidRDefault="001A5003" w:rsidP="00933FD6">
      <w:pPr>
        <w:pStyle w:val="01"/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503C12" w:rsidRDefault="00503C12" w:rsidP="001A5003">
      <w:pPr>
        <w:pStyle w:val="01"/>
        <w:rPr>
          <w:rFonts w:ascii="Arial" w:hAnsi="Arial" w:cs="Arial"/>
          <w:b/>
          <w:bCs/>
          <w:color w:val="474747"/>
          <w:sz w:val="22"/>
          <w:szCs w:val="22"/>
        </w:rPr>
      </w:pPr>
    </w:p>
    <w:p w:rsidR="00503C12" w:rsidRDefault="00503C12" w:rsidP="001A5003">
      <w:pPr>
        <w:pStyle w:val="01"/>
        <w:rPr>
          <w:rFonts w:ascii="Arial" w:hAnsi="Arial" w:cs="Arial"/>
          <w:b/>
          <w:bCs/>
          <w:color w:val="474747"/>
          <w:sz w:val="22"/>
          <w:szCs w:val="22"/>
        </w:rPr>
      </w:pPr>
    </w:p>
    <w:p w:rsidR="00503C12" w:rsidRDefault="00503C12" w:rsidP="001A5003">
      <w:pPr>
        <w:pStyle w:val="01"/>
        <w:rPr>
          <w:rFonts w:ascii="Arial" w:hAnsi="Arial" w:cs="Arial"/>
          <w:b/>
          <w:bCs/>
          <w:color w:val="474747"/>
          <w:sz w:val="22"/>
          <w:szCs w:val="22"/>
        </w:rPr>
      </w:pPr>
    </w:p>
    <w:p w:rsidR="001A5003" w:rsidRPr="00933FD6" w:rsidRDefault="001A5003" w:rsidP="001A5003">
      <w:pPr>
        <w:pStyle w:val="01"/>
        <w:rPr>
          <w:rFonts w:ascii="Arial" w:hAnsi="Arial" w:cs="Arial"/>
          <w:color w:val="474747"/>
          <w:sz w:val="22"/>
          <w:szCs w:val="22"/>
        </w:rPr>
      </w:pPr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ЦИФРОВЫЕ ТЕХНОЛОГИИ</w:t>
      </w:r>
    </w:p>
    <w:p w:rsidR="001A5003" w:rsidRPr="00933FD6" w:rsidRDefault="001A5003" w:rsidP="001A5003">
      <w:pPr>
        <w:pStyle w:val="01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933FD6">
        <w:rPr>
          <w:rFonts w:ascii="Arial" w:hAnsi="Arial" w:cs="Arial"/>
          <w:b/>
          <w:bCs/>
          <w:color w:val="474747"/>
          <w:sz w:val="22"/>
          <w:szCs w:val="22"/>
        </w:rPr>
        <w:t>Курцев</w:t>
      </w:r>
      <w:proofErr w:type="spellEnd"/>
      <w:r w:rsidR="00933FD6" w:rsidRPr="00933FD6">
        <w:rPr>
          <w:rFonts w:ascii="Arial" w:hAnsi="Arial" w:cs="Arial"/>
          <w:b/>
          <w:bCs/>
          <w:color w:val="474747"/>
          <w:sz w:val="22"/>
          <w:szCs w:val="22"/>
        </w:rPr>
        <w:t xml:space="preserve"> Н. </w:t>
      </w:r>
      <w:r w:rsidRPr="00933FD6">
        <w:rPr>
          <w:rFonts w:ascii="Arial" w:hAnsi="Arial" w:cs="Arial"/>
          <w:b/>
          <w:iCs/>
          <w:color w:val="474747"/>
          <w:sz w:val="22"/>
          <w:szCs w:val="22"/>
        </w:rPr>
        <w:t>Исследование перспектив искусственного интеллекта и систем управления ИС</w:t>
      </w:r>
    </w:p>
    <w:p w:rsidR="001A5003" w:rsidRPr="00933FD6" w:rsidRDefault="001A5003" w:rsidP="001A5003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933FD6">
        <w:rPr>
          <w:rFonts w:ascii="Arial" w:hAnsi="Arial" w:cs="Arial"/>
          <w:i/>
          <w:color w:val="474747"/>
          <w:sz w:val="22"/>
          <w:szCs w:val="22"/>
        </w:rPr>
        <w:t>В статье магистранта кафедры «Предпринимательство и внешнеэкономическая деятельность» МГТУ им. Н.Э. Баумана Н.О. </w:t>
      </w:r>
      <w:proofErr w:type="spellStart"/>
      <w:r w:rsidRPr="00933FD6">
        <w:rPr>
          <w:rFonts w:ascii="Arial" w:hAnsi="Arial" w:cs="Arial"/>
          <w:i/>
          <w:color w:val="474747"/>
          <w:sz w:val="22"/>
          <w:szCs w:val="22"/>
        </w:rPr>
        <w:t>Курцева</w:t>
      </w:r>
      <w:proofErr w:type="spellEnd"/>
      <w:r w:rsidRPr="00933FD6">
        <w:rPr>
          <w:rFonts w:ascii="Arial" w:hAnsi="Arial" w:cs="Arial"/>
          <w:i/>
          <w:color w:val="474747"/>
          <w:sz w:val="22"/>
          <w:szCs w:val="22"/>
        </w:rPr>
        <w:t xml:space="preserve"> проанализированы текущие и последние тенденции в технологиях, связанных с искусственным интеллектом (ИИ). Для анализа использованы статистические данные о патентах и научных публикациях. Рассмотрено будущее этой технологии, в том числе возможности, которые следующее поколение ИИ может принести человечеству, а также взаимодействие между ИИ и системами интеллектуальной собственности (ИС).</w:t>
      </w:r>
    </w:p>
    <w:p w:rsidR="00503C12" w:rsidRDefault="00503C12" w:rsidP="00933FD6">
      <w:pPr>
        <w:pStyle w:val="01"/>
        <w:jc w:val="center"/>
        <w:rPr>
          <w:rFonts w:ascii="Arial" w:hAnsi="Arial" w:cs="Arial"/>
          <w:i/>
          <w:color w:val="474747"/>
          <w:sz w:val="22"/>
          <w:szCs w:val="22"/>
        </w:rPr>
      </w:pPr>
    </w:p>
    <w:p w:rsidR="001A5003" w:rsidRPr="00B16ED8" w:rsidRDefault="001A5003" w:rsidP="00933FD6">
      <w:pPr>
        <w:pStyle w:val="01"/>
        <w:jc w:val="center"/>
        <w:rPr>
          <w:rFonts w:ascii="Arial" w:hAnsi="Arial" w:cs="Arial"/>
          <w:i/>
          <w:color w:val="474747"/>
          <w:sz w:val="22"/>
          <w:szCs w:val="22"/>
        </w:rPr>
      </w:pPr>
      <w:r w:rsidRPr="00B16ED8">
        <w:rPr>
          <w:rFonts w:ascii="Arial" w:hAnsi="Arial" w:cs="Arial"/>
          <w:i/>
          <w:color w:val="474747"/>
          <w:sz w:val="22"/>
          <w:szCs w:val="22"/>
        </w:rPr>
        <w:t>* * *</w:t>
      </w:r>
    </w:p>
    <w:p w:rsidR="00B16ED8" w:rsidRPr="00B16ED8" w:rsidRDefault="00B16ED8" w:rsidP="00B16ED8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lang w:eastAsia="ru-RU"/>
        </w:rPr>
      </w:pPr>
      <w:r w:rsidRPr="00B16ED8">
        <w:rPr>
          <w:rFonts w:ascii="Arial" w:eastAsia="Times New Roman" w:hAnsi="Arial" w:cs="Arial"/>
          <w:b/>
          <w:color w:val="2B2B2B"/>
          <w:lang w:eastAsia="ru-RU"/>
        </w:rPr>
        <w:t>№ 12, 2019</w:t>
      </w:r>
    </w:p>
    <w:p w:rsidR="00B16ED8" w:rsidRPr="00B16ED8" w:rsidRDefault="00B16ED8" w:rsidP="00B16ED8">
      <w:pPr>
        <w:pStyle w:val="01"/>
        <w:rPr>
          <w:rFonts w:ascii="Arial" w:hAnsi="Arial" w:cs="Arial"/>
          <w:i/>
          <w:color w:val="474747"/>
          <w:sz w:val="22"/>
          <w:szCs w:val="22"/>
        </w:rPr>
      </w:pPr>
      <w:r w:rsidRPr="00B16ED8">
        <w:rPr>
          <w:rFonts w:ascii="Arial" w:hAnsi="Arial" w:cs="Arial"/>
          <w:i/>
          <w:noProof/>
          <w:color w:val="474747"/>
          <w:sz w:val="22"/>
          <w:szCs w:val="22"/>
        </w:rPr>
        <w:drawing>
          <wp:inline distT="0" distB="0" distL="0" distR="0">
            <wp:extent cx="1555864" cy="2200275"/>
            <wp:effectExtent l="0" t="0" r="6350" b="0"/>
            <wp:docPr id="2" name="Рисунок 2" descr="w PS 12 19 Страница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PS 12 19 Страница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35" cy="22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olor w:val="474747"/>
          <w:sz w:val="22"/>
          <w:szCs w:val="22"/>
        </w:rPr>
        <w:t>ИННОВАЦИОННАЯ ЭКОНОМИКА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olor w:val="474747"/>
          <w:sz w:val="22"/>
          <w:szCs w:val="22"/>
        </w:rPr>
        <w:t xml:space="preserve">Леонтьев Б. </w:t>
      </w:r>
      <w:r w:rsidRPr="00B16ED8">
        <w:rPr>
          <w:rFonts w:ascii="Arial" w:hAnsi="Arial" w:cs="Arial"/>
          <w:b/>
          <w:iCs/>
          <w:color w:val="474747"/>
          <w:sz w:val="22"/>
          <w:szCs w:val="22"/>
        </w:rPr>
        <w:t>Экономика интеллектуальной собственности переходит в системную экономику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>
        <w:rPr>
          <w:rFonts w:ascii="Arial" w:hAnsi="Arial" w:cs="Arial"/>
          <w:i/>
          <w:color w:val="474747"/>
          <w:sz w:val="22"/>
          <w:szCs w:val="22"/>
        </w:rPr>
        <w:t>А</w:t>
      </w:r>
      <w:r w:rsidRPr="00B16ED8">
        <w:rPr>
          <w:rFonts w:ascii="Arial" w:hAnsi="Arial" w:cs="Arial"/>
          <w:i/>
          <w:color w:val="474747"/>
          <w:sz w:val="22"/>
          <w:szCs w:val="22"/>
        </w:rPr>
        <w:t xml:space="preserve">втор </w:t>
      </w:r>
      <w:r>
        <w:rPr>
          <w:rFonts w:ascii="Arial" w:hAnsi="Arial" w:cs="Arial"/>
          <w:i/>
          <w:color w:val="474747"/>
          <w:sz w:val="22"/>
          <w:szCs w:val="22"/>
        </w:rPr>
        <w:t>в</w:t>
      </w:r>
      <w:r w:rsidRPr="00B16ED8">
        <w:rPr>
          <w:rFonts w:ascii="Arial" w:hAnsi="Arial" w:cs="Arial"/>
          <w:i/>
          <w:color w:val="474747"/>
          <w:sz w:val="22"/>
          <w:szCs w:val="22"/>
        </w:rPr>
        <w:t> своей статье представляет подход и модель новой экономической теории, называемой автором «системной экономикой». Проанализированы тенденции развития оценочной деятельности в результате освоения новой экономической теории, где основные механизмы регулирования системных экономических отношений выстроены на основе процессов воспроизводства и реализации интеллектуальных активов.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B16ED8">
        <w:rPr>
          <w:rFonts w:ascii="Arial" w:hAnsi="Arial" w:cs="Arial"/>
          <w:i/>
          <w:color w:val="474747"/>
          <w:sz w:val="22"/>
          <w:szCs w:val="22"/>
        </w:rPr>
        <w:t>Ключевые слова: системная экономика, оценочная деятельность, результаты интеллектуальной деятельности.</w:t>
      </w:r>
    </w:p>
    <w:p w:rsidR="00503C12" w:rsidRDefault="00503C12" w:rsidP="00B16ED8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color w:val="474747"/>
          <w:sz w:val="22"/>
          <w:szCs w:val="22"/>
        </w:rPr>
        <w:t>* * *</w:t>
      </w:r>
    </w:p>
    <w:p w:rsidR="00503C12" w:rsidRDefault="00503C12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503C12" w:rsidRDefault="00503C12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503C12" w:rsidRDefault="00503C12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aps/>
          <w:color w:val="474747"/>
          <w:sz w:val="22"/>
          <w:szCs w:val="22"/>
        </w:rPr>
        <w:t>ПОЛИТИКА ВУЗОВ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olor w:val="474747"/>
          <w:sz w:val="22"/>
          <w:szCs w:val="22"/>
        </w:rPr>
        <w:t xml:space="preserve">Васильева Ю. </w:t>
      </w:r>
      <w:r w:rsidRPr="00B16ED8">
        <w:rPr>
          <w:rFonts w:ascii="Arial" w:hAnsi="Arial" w:cs="Arial"/>
          <w:b/>
          <w:iCs/>
          <w:color w:val="474747"/>
          <w:sz w:val="22"/>
          <w:szCs w:val="22"/>
        </w:rPr>
        <w:t>Учет результатов интеллектуальной деятельности в качестве нематериальных активов в вузе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B16ED8">
        <w:rPr>
          <w:rFonts w:ascii="Arial" w:hAnsi="Arial" w:cs="Arial"/>
          <w:i/>
          <w:color w:val="474747"/>
          <w:sz w:val="22"/>
          <w:szCs w:val="22"/>
        </w:rPr>
        <w:t>Автор в своей статье раскрывает преимущества учета результатов интеллектуальной деятельности на бухгалтерском балансе в качестве нематериальных активов. Выделены особенности учета нематериальных активов государственными высшими учебными заведениями в России.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color w:val="474747"/>
          <w:sz w:val="22"/>
          <w:szCs w:val="22"/>
        </w:rPr>
        <w:t>* * *</w:t>
      </w:r>
    </w:p>
    <w:p w:rsidR="00675C01" w:rsidRDefault="00675C01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color w:val="474747"/>
          <w:sz w:val="22"/>
          <w:szCs w:val="22"/>
        </w:rPr>
      </w:pP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aps/>
          <w:color w:val="474747"/>
          <w:sz w:val="22"/>
          <w:szCs w:val="22"/>
        </w:rPr>
        <w:t>ПАТЕНТНЫЕ ИССЛЕДОВАНИЯ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olor w:val="474747"/>
          <w:sz w:val="22"/>
          <w:szCs w:val="22"/>
        </w:rPr>
        <w:t xml:space="preserve">Тевелева О. </w:t>
      </w:r>
      <w:r w:rsidRPr="00B16ED8">
        <w:rPr>
          <w:rFonts w:ascii="Arial" w:hAnsi="Arial" w:cs="Arial"/>
          <w:b/>
          <w:iCs/>
          <w:color w:val="474747"/>
          <w:sz w:val="22"/>
          <w:szCs w:val="22"/>
        </w:rPr>
        <w:t>Об использовании показателей патентной активности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i/>
          <w:color w:val="474747"/>
          <w:sz w:val="22"/>
          <w:szCs w:val="22"/>
        </w:rPr>
      </w:pPr>
      <w:r w:rsidRPr="00B16ED8">
        <w:rPr>
          <w:rFonts w:ascii="Arial" w:hAnsi="Arial" w:cs="Arial"/>
          <w:i/>
          <w:color w:val="474747"/>
          <w:sz w:val="22"/>
          <w:szCs w:val="22"/>
        </w:rPr>
        <w:t>Показатели патентования традиционно используются для измерения инновационной активности. При этом не учитываются многие аспекты, которые побуждают компании получать патенты или же прибегать к альтернативным методам зашиты интеллектуальной собственности. Так что анализируемая патентная статистика не только не дает объективной картины, но и существенно искажает тенденции технологических изменений. В статье рассмотрены объективные причины необходимости учета разных факторов, влияющих на склонность компаний к патентованию.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color w:val="474747"/>
          <w:sz w:val="22"/>
          <w:szCs w:val="22"/>
        </w:rPr>
        <w:t>* * *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aps/>
          <w:color w:val="474747"/>
          <w:sz w:val="22"/>
          <w:szCs w:val="22"/>
        </w:rPr>
        <w:t>УПРАВЛЕНИЕ ИС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74747"/>
          <w:sz w:val="22"/>
          <w:szCs w:val="22"/>
        </w:rPr>
      </w:pPr>
      <w:proofErr w:type="spellStart"/>
      <w:r w:rsidRPr="00B16ED8">
        <w:rPr>
          <w:rFonts w:ascii="Arial" w:hAnsi="Arial" w:cs="Arial"/>
          <w:b/>
          <w:bCs/>
          <w:color w:val="474747"/>
          <w:sz w:val="22"/>
          <w:szCs w:val="22"/>
        </w:rPr>
        <w:t>Видякина</w:t>
      </w:r>
      <w:proofErr w:type="spellEnd"/>
      <w:r w:rsidRPr="00B16ED8">
        <w:rPr>
          <w:rFonts w:ascii="Arial" w:hAnsi="Arial" w:cs="Arial"/>
          <w:b/>
          <w:bCs/>
          <w:color w:val="474747"/>
          <w:sz w:val="22"/>
          <w:szCs w:val="22"/>
        </w:rPr>
        <w:t xml:space="preserve"> О., </w:t>
      </w:r>
      <w:proofErr w:type="spellStart"/>
      <w:r w:rsidRPr="00B16ED8">
        <w:rPr>
          <w:rFonts w:ascii="Arial" w:hAnsi="Arial" w:cs="Arial"/>
          <w:b/>
          <w:bCs/>
          <w:color w:val="474747"/>
          <w:sz w:val="22"/>
          <w:szCs w:val="22"/>
        </w:rPr>
        <w:t>Семерухина</w:t>
      </w:r>
      <w:proofErr w:type="spellEnd"/>
      <w:r w:rsidRPr="00B16ED8">
        <w:rPr>
          <w:rFonts w:ascii="Arial" w:hAnsi="Arial" w:cs="Arial"/>
          <w:b/>
          <w:bCs/>
          <w:color w:val="474747"/>
          <w:sz w:val="22"/>
          <w:szCs w:val="22"/>
        </w:rPr>
        <w:t xml:space="preserve"> И. </w:t>
      </w:r>
      <w:r w:rsidRPr="00B16ED8">
        <w:rPr>
          <w:rFonts w:ascii="Arial" w:hAnsi="Arial" w:cs="Arial"/>
          <w:b/>
          <w:iCs/>
          <w:color w:val="474747"/>
          <w:sz w:val="22"/>
          <w:szCs w:val="22"/>
        </w:rPr>
        <w:t>Ключевые показатели эффективности систем управления интеллектуальной собственностью компаний, реализующих программы инновационного развития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color w:val="474747"/>
          <w:sz w:val="22"/>
          <w:szCs w:val="22"/>
        </w:rPr>
        <w:t>В статье представлен анализ ключевых показателей эффективности систем управления интеллектуальной собственностью компаний, реализующих программы инновационного развития. Предложена матрица для формирования КПЭ на основе функций управления и жизненного цикла РИД.</w:t>
      </w:r>
    </w:p>
    <w:p w:rsidR="00B16ED8" w:rsidRDefault="00B16ED8" w:rsidP="00B16ED8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color w:val="474747"/>
          <w:sz w:val="22"/>
          <w:szCs w:val="22"/>
        </w:rPr>
        <w:t>* * *</w:t>
      </w:r>
    </w:p>
    <w:p w:rsidR="00503C12" w:rsidRPr="00B16ED8" w:rsidRDefault="00503C12" w:rsidP="00B16ED8">
      <w:pPr>
        <w:pStyle w:val="01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74747"/>
          <w:sz w:val="22"/>
          <w:szCs w:val="22"/>
        </w:rPr>
      </w:pP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aps/>
          <w:color w:val="474747"/>
          <w:sz w:val="22"/>
          <w:szCs w:val="22"/>
        </w:rPr>
        <w:t>СУДЕБНАЯ ПРАКТИКА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b/>
          <w:bCs/>
          <w:color w:val="474747"/>
          <w:sz w:val="22"/>
          <w:szCs w:val="22"/>
        </w:rPr>
        <w:t xml:space="preserve">Рябов В. </w:t>
      </w:r>
      <w:r w:rsidRPr="00B16ED8">
        <w:rPr>
          <w:rFonts w:ascii="Arial" w:hAnsi="Arial" w:cs="Arial"/>
          <w:b/>
          <w:iCs/>
          <w:color w:val="474747"/>
          <w:sz w:val="22"/>
          <w:szCs w:val="22"/>
        </w:rPr>
        <w:t>Объективный срок исковой давности при разрешении споров о защите прав на результаты интеллектуальной деятельности и средства индивидуализации</w:t>
      </w:r>
    </w:p>
    <w:p w:rsidR="00B16ED8" w:rsidRPr="00B16ED8" w:rsidRDefault="00B16ED8" w:rsidP="00B16ED8">
      <w:pPr>
        <w:pStyle w:val="01"/>
        <w:shd w:val="clear" w:color="auto" w:fill="FFFFFF"/>
        <w:spacing w:before="240" w:beforeAutospacing="0" w:after="240" w:afterAutospacing="0"/>
        <w:rPr>
          <w:rFonts w:ascii="Arial" w:hAnsi="Arial" w:cs="Arial"/>
          <w:color w:val="474747"/>
          <w:sz w:val="22"/>
          <w:szCs w:val="22"/>
        </w:rPr>
      </w:pPr>
      <w:r w:rsidRPr="00B16ED8">
        <w:rPr>
          <w:rFonts w:ascii="Arial" w:hAnsi="Arial" w:cs="Arial"/>
          <w:color w:val="474747"/>
          <w:sz w:val="22"/>
          <w:szCs w:val="22"/>
        </w:rPr>
        <w:t>В статье рассмотрены вопросы правовой природы объективного срока исковой давности, особенностей его применения при рассмотрении судебных дел о защите прав на результаты интеллектуальной деятельности и средства индивидуализации.</w:t>
      </w:r>
    </w:p>
    <w:sectPr w:rsidR="00B16ED8" w:rsidRPr="00B16ED8" w:rsidSect="005D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D6A"/>
    <w:multiLevelType w:val="multilevel"/>
    <w:tmpl w:val="D61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7211"/>
    <w:multiLevelType w:val="multilevel"/>
    <w:tmpl w:val="951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7ACB"/>
    <w:multiLevelType w:val="multilevel"/>
    <w:tmpl w:val="0B6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EDC"/>
    <w:multiLevelType w:val="multilevel"/>
    <w:tmpl w:val="334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B6BEA"/>
    <w:multiLevelType w:val="multilevel"/>
    <w:tmpl w:val="608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54A74"/>
    <w:multiLevelType w:val="multilevel"/>
    <w:tmpl w:val="23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11038"/>
    <w:multiLevelType w:val="multilevel"/>
    <w:tmpl w:val="DD5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A632D"/>
    <w:multiLevelType w:val="multilevel"/>
    <w:tmpl w:val="FF1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E2BC7"/>
    <w:multiLevelType w:val="multilevel"/>
    <w:tmpl w:val="6B0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BD"/>
    <w:multiLevelType w:val="multilevel"/>
    <w:tmpl w:val="1F9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D5F04"/>
    <w:multiLevelType w:val="multilevel"/>
    <w:tmpl w:val="D1E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5A6"/>
    <w:multiLevelType w:val="multilevel"/>
    <w:tmpl w:val="D91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D182D"/>
    <w:multiLevelType w:val="multilevel"/>
    <w:tmpl w:val="35F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F70"/>
    <w:multiLevelType w:val="multilevel"/>
    <w:tmpl w:val="D7A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B7877"/>
    <w:multiLevelType w:val="multilevel"/>
    <w:tmpl w:val="9D40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B111A"/>
    <w:multiLevelType w:val="multilevel"/>
    <w:tmpl w:val="7E0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E4017"/>
    <w:multiLevelType w:val="multilevel"/>
    <w:tmpl w:val="CD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A5C39"/>
    <w:multiLevelType w:val="multilevel"/>
    <w:tmpl w:val="7D9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544B7"/>
    <w:multiLevelType w:val="multilevel"/>
    <w:tmpl w:val="EC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46753"/>
    <w:multiLevelType w:val="multilevel"/>
    <w:tmpl w:val="4CF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4955"/>
    <w:multiLevelType w:val="multilevel"/>
    <w:tmpl w:val="16D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22A5D"/>
    <w:multiLevelType w:val="multilevel"/>
    <w:tmpl w:val="CCE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77A12"/>
    <w:multiLevelType w:val="multilevel"/>
    <w:tmpl w:val="B91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14ECD"/>
    <w:multiLevelType w:val="multilevel"/>
    <w:tmpl w:val="B7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B502A"/>
    <w:multiLevelType w:val="multilevel"/>
    <w:tmpl w:val="32A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20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22"/>
  </w:num>
  <w:num w:numId="15">
    <w:abstractNumId w:val="7"/>
  </w:num>
  <w:num w:numId="16">
    <w:abstractNumId w:val="19"/>
  </w:num>
  <w:num w:numId="17">
    <w:abstractNumId w:val="21"/>
  </w:num>
  <w:num w:numId="18">
    <w:abstractNumId w:val="18"/>
  </w:num>
  <w:num w:numId="19">
    <w:abstractNumId w:val="3"/>
  </w:num>
  <w:num w:numId="20">
    <w:abstractNumId w:val="6"/>
  </w:num>
  <w:num w:numId="21">
    <w:abstractNumId w:val="16"/>
  </w:num>
  <w:num w:numId="22">
    <w:abstractNumId w:val="23"/>
  </w:num>
  <w:num w:numId="23">
    <w:abstractNumId w:val="1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A6"/>
    <w:rsid w:val="00030AA2"/>
    <w:rsid w:val="0004303C"/>
    <w:rsid w:val="0007777D"/>
    <w:rsid w:val="000A349C"/>
    <w:rsid w:val="000C04B3"/>
    <w:rsid w:val="000C20BE"/>
    <w:rsid w:val="001A5003"/>
    <w:rsid w:val="0027667F"/>
    <w:rsid w:val="00334D30"/>
    <w:rsid w:val="00350BE9"/>
    <w:rsid w:val="003A6905"/>
    <w:rsid w:val="00503C12"/>
    <w:rsid w:val="005D3575"/>
    <w:rsid w:val="005F7E8B"/>
    <w:rsid w:val="00675C01"/>
    <w:rsid w:val="00730E91"/>
    <w:rsid w:val="007C7135"/>
    <w:rsid w:val="008205FA"/>
    <w:rsid w:val="00826709"/>
    <w:rsid w:val="0092534D"/>
    <w:rsid w:val="00933FD6"/>
    <w:rsid w:val="00AA5BAC"/>
    <w:rsid w:val="00B16ED8"/>
    <w:rsid w:val="00B401BD"/>
    <w:rsid w:val="00C36011"/>
    <w:rsid w:val="00E018D8"/>
    <w:rsid w:val="00E161C6"/>
    <w:rsid w:val="00EB61A6"/>
    <w:rsid w:val="00EE685E"/>
    <w:rsid w:val="00F2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8956-9AA3-4205-8394-D2D54C9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"/>
    <w:basedOn w:val="a"/>
    <w:rsid w:val="005D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6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711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5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6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5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6336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62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6630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6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585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4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22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5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79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57583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017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4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5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2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7464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77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18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0469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1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869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6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419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30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1402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59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5816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5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057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25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3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9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279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4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2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3266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6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59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7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2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21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28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118C-053A-4855-9BED-004840C0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Дмитриева Любовь Арсентьевна</cp:lastModifiedBy>
  <cp:revision>2</cp:revision>
  <dcterms:created xsi:type="dcterms:W3CDTF">2020-03-20T05:04:00Z</dcterms:created>
  <dcterms:modified xsi:type="dcterms:W3CDTF">2020-03-20T05:04:00Z</dcterms:modified>
</cp:coreProperties>
</file>