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7F" w:rsidRPr="00352F53" w:rsidRDefault="00EB61A6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</w:pPr>
      <w:r w:rsidRPr="00352F53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 xml:space="preserve">ОБЗОР </w:t>
      </w:r>
      <w:r w:rsidR="0027667F" w:rsidRPr="00352F53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 xml:space="preserve">СОДЕРЖАНИЯ </w:t>
      </w:r>
      <w:r w:rsidRPr="00352F53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>ЖУРНА</w:t>
      </w:r>
      <w:r w:rsidR="0027667F" w:rsidRPr="00352F53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>ЛА</w:t>
      </w:r>
    </w:p>
    <w:p w:rsidR="00271105" w:rsidRPr="00352F53" w:rsidRDefault="00EB61A6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</w:pPr>
      <w:r w:rsidRPr="00352F53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 xml:space="preserve"> </w:t>
      </w:r>
      <w:r w:rsidR="0027667F" w:rsidRPr="00352F53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 xml:space="preserve">«ИНТЕЛЛЕКТУАЛЬНАЯ СОБСТВЕННОСТЬ: </w:t>
      </w:r>
      <w:r w:rsidR="00271105" w:rsidRPr="00352F53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 xml:space="preserve">АВТОРСКОЕ ПРАВО </w:t>
      </w:r>
    </w:p>
    <w:p w:rsidR="0027667F" w:rsidRPr="00352F53" w:rsidRDefault="00271105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</w:pPr>
      <w:r w:rsidRPr="00352F53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>И СМЕЖНЫЕ ПРАВА</w:t>
      </w:r>
      <w:r w:rsidR="0027667F" w:rsidRPr="00352F53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>»</w:t>
      </w:r>
    </w:p>
    <w:p w:rsidR="00EB61A6" w:rsidRPr="00352F53" w:rsidRDefault="0027667F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</w:pPr>
      <w:r w:rsidRPr="00352F53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 xml:space="preserve">№№ </w:t>
      </w:r>
      <w:r w:rsidR="00730E91" w:rsidRPr="00352F53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>9-1</w:t>
      </w:r>
      <w:r w:rsidR="00352F53" w:rsidRPr="00352F53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>2</w:t>
      </w:r>
      <w:r w:rsidRPr="00352F53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 xml:space="preserve"> / 2019 ГОД</w:t>
      </w:r>
    </w:p>
    <w:p w:rsidR="0027667F" w:rsidRPr="00352F53" w:rsidRDefault="0027667F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EB61A6" w:rsidRPr="00352F53" w:rsidRDefault="00EB61A6" w:rsidP="000C04B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352F53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№ </w:t>
      </w:r>
      <w:r w:rsidR="00730E91" w:rsidRPr="00352F53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9</w:t>
      </w:r>
      <w:r w:rsidRPr="00352F53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, 2019</w:t>
      </w:r>
    </w:p>
    <w:p w:rsidR="00EB61A6" w:rsidRPr="00826709" w:rsidRDefault="00271105" w:rsidP="000C04B3">
      <w:pPr>
        <w:shd w:val="clear" w:color="auto" w:fill="FFFFFF"/>
        <w:spacing w:before="240" w:after="240" w:line="276" w:lineRule="auto"/>
        <w:rPr>
          <w:rFonts w:ascii="Arial" w:eastAsia="Times New Roman" w:hAnsi="Arial" w:cs="Arial"/>
          <w:color w:val="474747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DDD60D" wp14:editId="0D9062C7">
            <wp:extent cx="1299922" cy="1838325"/>
            <wp:effectExtent l="0" t="0" r="0" b="0"/>
            <wp:docPr id="1" name="Рисунок 1" descr="w AP 9 19 Страница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 AP 9 19 Страница 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627" cy="191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105" w:rsidRPr="00352F53" w:rsidRDefault="00271105" w:rsidP="0027110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aps/>
          <w:color w:val="474747"/>
          <w:sz w:val="22"/>
          <w:szCs w:val="22"/>
        </w:rPr>
        <w:t>МЕЖДУНАРОДНЫЕ СОГЛАШЕНИЯ</w:t>
      </w:r>
    </w:p>
    <w:p w:rsidR="00271105" w:rsidRPr="00352F53" w:rsidRDefault="00271105" w:rsidP="0027110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Шугуров</w:t>
      </w:r>
      <w:proofErr w:type="spellEnd"/>
      <w:r w:rsidR="005A32E8"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М.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Тенденции и перспективы гармонизации авторского права ЕС</w:t>
      </w:r>
    </w:p>
    <w:p w:rsidR="00271105" w:rsidRPr="00352F53" w:rsidRDefault="00271105" w:rsidP="004439B5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 xml:space="preserve">Автор в своей статье рассматривает ключевые вопросы гармонизации авторского права и смежных прав в ЕС в качестве важнейшего направления интеграционного взаимодействия государств-членов в сфере развития права интеллектуальной собственности в условиях цифровой эпохи. Предметом особого внимания стали механизмы и формы гармонизации. Реализация перспективы перехода к унифицированному авторскому праву ЕС рассматривается сквозь призму формирования нового правового мышления, которое, в свою очередь, тесно связано со становлением панъевропейского 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мультистейкхолдерства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>. Работа выполнена при финансовой поддержке РФФИ (проект № 19-011-00805 «Развитие права интеллектуальной собственности ЕАЭС и ЕС в рамках региональных моделей цифровой трансформации экономики: сравнительно-правовой анализ»).</w:t>
      </w:r>
    </w:p>
    <w:p w:rsidR="00271105" w:rsidRPr="00352F53" w:rsidRDefault="00271105" w:rsidP="004439B5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color w:val="474747"/>
          <w:sz w:val="22"/>
          <w:szCs w:val="22"/>
        </w:rPr>
        <w:t>* * *</w:t>
      </w:r>
    </w:p>
    <w:p w:rsidR="00271105" w:rsidRPr="00352F53" w:rsidRDefault="00271105" w:rsidP="004439B5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aps/>
          <w:color w:val="474747"/>
          <w:sz w:val="22"/>
          <w:szCs w:val="22"/>
        </w:rPr>
        <w:t>ЗАРУБЕЖНЫЙ ОПЫТ</w:t>
      </w:r>
    </w:p>
    <w:p w:rsidR="00271105" w:rsidRPr="00352F53" w:rsidRDefault="00271105" w:rsidP="004439B5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Слабых</w:t>
      </w:r>
      <w:r w:rsidR="005A32E8"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И.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Дело </w:t>
      </w:r>
      <w:proofErr w:type="spellStart"/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Oracle</w:t>
      </w:r>
      <w:proofErr w:type="spellEnd"/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 </w:t>
      </w:r>
      <w:proofErr w:type="spellStart"/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Am</w:t>
      </w:r>
      <w:proofErr w:type="spellEnd"/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. v. </w:t>
      </w:r>
      <w:proofErr w:type="spellStart"/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Google</w:t>
      </w:r>
      <w:proofErr w:type="spellEnd"/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 </w:t>
      </w:r>
      <w:proofErr w:type="spellStart"/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Inc</w:t>
      </w:r>
      <w:proofErr w:type="spellEnd"/>
      <w:r w:rsidRPr="00352F53">
        <w:rPr>
          <w:rFonts w:ascii="Arial" w:hAnsi="Arial" w:cs="Arial"/>
          <w:b/>
          <w:iCs/>
          <w:color w:val="474747"/>
          <w:sz w:val="22"/>
          <w:szCs w:val="22"/>
        </w:rPr>
        <w:t xml:space="preserve">.: </w:t>
      </w:r>
      <w:proofErr w:type="spellStart"/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грандиознейшее</w:t>
      </w:r>
      <w:proofErr w:type="spellEnd"/>
      <w:r w:rsidRPr="00352F53">
        <w:rPr>
          <w:rFonts w:ascii="Arial" w:hAnsi="Arial" w:cs="Arial"/>
          <w:b/>
          <w:iCs/>
          <w:color w:val="474747"/>
          <w:sz w:val="22"/>
          <w:szCs w:val="22"/>
        </w:rPr>
        <w:t xml:space="preserve"> сражение с пиратами XXI века</w:t>
      </w:r>
    </w:p>
    <w:p w:rsidR="00271105" w:rsidRPr="00352F53" w:rsidRDefault="00271105" w:rsidP="004439B5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>Автор посвятил свою статью серии решений американских судов по иску корпорации 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Oracle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> 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America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> к корпорации 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Google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>. В ходе рассмотрения этого дела суды</w:t>
      </w:r>
      <w:r w:rsidRPr="00352F53">
        <w:rPr>
          <w:rFonts w:ascii="Arial" w:hAnsi="Arial" w:cs="Arial"/>
          <w:color w:val="474747"/>
          <w:sz w:val="22"/>
          <w:szCs w:val="22"/>
        </w:rPr>
        <w:t xml:space="preserve"> </w:t>
      </w:r>
      <w:r w:rsidRPr="00352F53">
        <w:rPr>
          <w:rFonts w:ascii="Arial" w:hAnsi="Arial" w:cs="Arial"/>
          <w:i/>
          <w:color w:val="474747"/>
          <w:sz w:val="22"/>
          <w:szCs w:val="22"/>
        </w:rPr>
        <w:t xml:space="preserve">сформулировали подходы к спорным вопросам в сфере 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охраноспособности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 xml:space="preserve"> авторским правом программ для ЭВМ и к определению критериев справедливого использования программ. Окончание. Начало в № 6 журнала «Интеллектуальная собственность. Авторское право и смежные права» за 2019 г.</w:t>
      </w:r>
    </w:p>
    <w:p w:rsidR="004439B5" w:rsidRPr="00352F53" w:rsidRDefault="004439B5" w:rsidP="005A32E8">
      <w:pPr>
        <w:pStyle w:val="01"/>
        <w:shd w:val="clear" w:color="auto" w:fill="FFFFFF"/>
        <w:spacing w:before="240" w:beforeAutospacing="0" w:after="240" w:afterAutospacing="0" w:line="276" w:lineRule="auto"/>
        <w:jc w:val="center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>* * *</w:t>
      </w:r>
    </w:p>
    <w:p w:rsidR="00352F53" w:rsidRDefault="00352F53" w:rsidP="004439B5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b/>
          <w:bCs/>
          <w:color w:val="474747"/>
          <w:sz w:val="22"/>
          <w:szCs w:val="22"/>
        </w:rPr>
      </w:pPr>
    </w:p>
    <w:p w:rsidR="00271105" w:rsidRPr="00352F53" w:rsidRDefault="00271105" w:rsidP="004439B5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352F53">
        <w:rPr>
          <w:rFonts w:ascii="Arial" w:hAnsi="Arial" w:cs="Arial"/>
          <w:b/>
          <w:bCs/>
          <w:color w:val="474747"/>
          <w:sz w:val="22"/>
          <w:szCs w:val="22"/>
        </w:rPr>
        <w:lastRenderedPageBreak/>
        <w:t>Чикин</w:t>
      </w:r>
      <w:proofErr w:type="spellEnd"/>
      <w:r w:rsidR="005A32E8"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Н.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Авторско-правовая охрана произведений искусства во Франции на примере комиксов</w:t>
      </w:r>
    </w:p>
    <w:p w:rsidR="00271105" w:rsidRPr="00352F53" w:rsidRDefault="00271105" w:rsidP="004439B5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 xml:space="preserve">В статье магистранта Московского государственного юридического университета им. О.Е. 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Кутафина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 xml:space="preserve"> (МГЮА) Н.А. 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Чикина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 xml:space="preserve"> освещается авторско-правовая охрана изобразительных произведений искусства во Франции на примере комиксов. Раскрывается правовой режим объектов авторского права во Франции, в том числе и комиксов. Рассматривается правовое регулирование отношений, связанных с созданием и использованием изобразительного искусства, а также правовой статус автора. Затрагивается вопрос наследственных и семейных отношений.</w:t>
      </w:r>
    </w:p>
    <w:p w:rsidR="00271105" w:rsidRPr="00352F53" w:rsidRDefault="00271105" w:rsidP="004439B5">
      <w:pPr>
        <w:pStyle w:val="01"/>
        <w:shd w:val="clear" w:color="auto" w:fill="FFFFFF"/>
        <w:spacing w:before="240" w:beforeAutospacing="0" w:after="240" w:afterAutospacing="0" w:line="276" w:lineRule="auto"/>
        <w:jc w:val="center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color w:val="474747"/>
          <w:sz w:val="22"/>
          <w:szCs w:val="22"/>
        </w:rPr>
        <w:t>* * *</w:t>
      </w:r>
    </w:p>
    <w:p w:rsidR="00271105" w:rsidRPr="00352F53" w:rsidRDefault="00271105" w:rsidP="004439B5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aps/>
          <w:color w:val="474747"/>
          <w:sz w:val="22"/>
          <w:szCs w:val="22"/>
        </w:rPr>
        <w:t>ЛИЦЕНЗИИ CREATIVE COMMONS</w:t>
      </w:r>
    </w:p>
    <w:p w:rsidR="00271105" w:rsidRPr="00352F53" w:rsidRDefault="00271105" w:rsidP="004439B5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Соснин</w:t>
      </w:r>
      <w:r w:rsidR="005A32E8"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К. </w:t>
      </w:r>
      <w:proofErr w:type="spellStart"/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Creative</w:t>
      </w:r>
      <w:proofErr w:type="spellEnd"/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 </w:t>
      </w:r>
      <w:proofErr w:type="spellStart"/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Commons</w:t>
      </w:r>
      <w:proofErr w:type="spellEnd"/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: правовые аспекты применения в Российской Федерации</w:t>
      </w:r>
    </w:p>
    <w:p w:rsidR="00271105" w:rsidRPr="00352F53" w:rsidRDefault="00271105" w:rsidP="004439B5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>Статья посвящена системам лицензий, разработанных международной некоммерческой организацией 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Creative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> 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Commons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>. Рассмотрены основные типы лицензий и проблематика их правового применения в России, а также сделаны выводы о том, какие шаги нужно предпринять для распространения данных лицензий. По мнению автора, 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Creative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> 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Commons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> является золотой серединой в отношениях между правообладателями и пользователями объектов интеллектуальной собственности. Совершенствование правоприменительной практики сможет оказать благоприятное воздействие как на защиту прав авторов, так и на свободное распространение образовательных</w:t>
      </w:r>
      <w:r w:rsidRPr="00352F53">
        <w:rPr>
          <w:rFonts w:ascii="Arial" w:hAnsi="Arial" w:cs="Arial"/>
          <w:color w:val="474747"/>
          <w:sz w:val="22"/>
          <w:szCs w:val="22"/>
        </w:rPr>
        <w:t xml:space="preserve"> </w:t>
      </w:r>
      <w:r w:rsidRPr="00352F53">
        <w:rPr>
          <w:rFonts w:ascii="Arial" w:hAnsi="Arial" w:cs="Arial"/>
          <w:i/>
          <w:color w:val="474747"/>
          <w:sz w:val="22"/>
          <w:szCs w:val="22"/>
        </w:rPr>
        <w:t>и иных творческих материалов.</w:t>
      </w:r>
    </w:p>
    <w:p w:rsidR="00271105" w:rsidRPr="00352F53" w:rsidRDefault="00271105" w:rsidP="004439B5">
      <w:pPr>
        <w:pStyle w:val="01"/>
        <w:shd w:val="clear" w:color="auto" w:fill="FFFFFF"/>
        <w:spacing w:before="240" w:beforeAutospacing="0" w:after="240" w:afterAutospacing="0" w:line="276" w:lineRule="auto"/>
        <w:jc w:val="center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color w:val="474747"/>
          <w:sz w:val="22"/>
          <w:szCs w:val="22"/>
        </w:rPr>
        <w:t>* * *</w:t>
      </w:r>
    </w:p>
    <w:p w:rsidR="00271105" w:rsidRPr="00352F53" w:rsidRDefault="00271105" w:rsidP="004439B5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aps/>
          <w:color w:val="474747"/>
          <w:sz w:val="22"/>
          <w:szCs w:val="22"/>
        </w:rPr>
        <w:t>ГЕОГРАФИЧЕСКИЕ УКАЗАНИЯ</w:t>
      </w:r>
    </w:p>
    <w:p w:rsidR="00271105" w:rsidRPr="00352F53" w:rsidRDefault="00271105" w:rsidP="004439B5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Фёдорова</w:t>
      </w:r>
      <w:r w:rsidR="005A32E8"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Н.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Новый правовой институт «географические указания»: в чем отличия от наименований мест происхождения товаров</w:t>
      </w:r>
    </w:p>
    <w:p w:rsidR="00271105" w:rsidRPr="00352F53" w:rsidRDefault="00271105" w:rsidP="004439B5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>Комитет Государственной Думы по государственному строительству и законодательству рассмотрел 26.06.2019 в первом чтении Законопроект о географических указаниях подготовлен поправки и рекомендовал принять во втором чтении проект федерального закона № 509994-7 «О внесении изменений в часть четвертую Гражданского кодекса Российской Федерации» (о географических указаниях) (см. стр. 64). Автор статьи, Н.В. Фёдорова, Главный эксперт Департамента законотворческой деятельности Торгово-промышленной палаты Российской Федерации разъясняет суть изменений в законодательстве.</w:t>
      </w:r>
    </w:p>
    <w:p w:rsidR="00271105" w:rsidRPr="00352F53" w:rsidRDefault="00271105" w:rsidP="004439B5">
      <w:pPr>
        <w:pStyle w:val="01"/>
        <w:shd w:val="clear" w:color="auto" w:fill="FFFFFF"/>
        <w:spacing w:before="240" w:beforeAutospacing="0" w:after="240" w:afterAutospacing="0" w:line="276" w:lineRule="auto"/>
        <w:jc w:val="center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color w:val="474747"/>
          <w:sz w:val="22"/>
          <w:szCs w:val="22"/>
        </w:rPr>
        <w:t>* * *</w:t>
      </w:r>
    </w:p>
    <w:p w:rsidR="00352F53" w:rsidRDefault="00352F53" w:rsidP="000C04B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352F53" w:rsidRDefault="00352F53" w:rsidP="000C04B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352F53" w:rsidRDefault="00352F53" w:rsidP="000C04B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352F53" w:rsidRDefault="00352F53" w:rsidP="000C04B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352F53" w:rsidRDefault="00352F53" w:rsidP="000C04B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5F7E8B" w:rsidRPr="00352F53" w:rsidRDefault="00E161C6" w:rsidP="000C04B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352F53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lastRenderedPageBreak/>
        <w:t xml:space="preserve">№ </w:t>
      </w:r>
      <w:r w:rsidR="00730E91" w:rsidRPr="00352F53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10</w:t>
      </w:r>
      <w:r w:rsidR="005F7E8B" w:rsidRPr="00352F53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, 2019</w:t>
      </w:r>
    </w:p>
    <w:p w:rsidR="00730E91" w:rsidRPr="00352F53" w:rsidRDefault="004439B5" w:rsidP="00730E91">
      <w:pPr>
        <w:shd w:val="clear" w:color="auto" w:fill="FFFFFF"/>
        <w:spacing w:before="240" w:after="240" w:line="276" w:lineRule="auto"/>
        <w:rPr>
          <w:rFonts w:ascii="Arial" w:hAnsi="Arial" w:cs="Arial"/>
          <w:i/>
          <w:color w:val="474747"/>
        </w:rPr>
      </w:pPr>
      <w:r w:rsidRPr="00352F53">
        <w:rPr>
          <w:rFonts w:ascii="Arial" w:hAnsi="Arial" w:cs="Arial"/>
          <w:i/>
          <w:noProof/>
          <w:color w:val="474747"/>
          <w:lang w:eastAsia="ru-RU"/>
        </w:rPr>
        <w:drawing>
          <wp:inline distT="0" distB="0" distL="0" distR="0">
            <wp:extent cx="1468305" cy="2076450"/>
            <wp:effectExtent l="0" t="0" r="0" b="0"/>
            <wp:docPr id="2" name="Рисунок 2" descr="w AP 10 19 Страница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 AP 10 19 Страница 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17" cy="212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B5" w:rsidRPr="00352F53" w:rsidRDefault="004439B5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aps/>
          <w:color w:val="474747"/>
          <w:sz w:val="22"/>
          <w:szCs w:val="22"/>
        </w:rPr>
        <w:t>ЦИФРОВАЯ ЭКОНОМИКА</w:t>
      </w:r>
    </w:p>
    <w:p w:rsidR="004439B5" w:rsidRPr="00352F53" w:rsidRDefault="004439B5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Джолдыбаева</w:t>
      </w:r>
      <w:proofErr w:type="spellEnd"/>
      <w:r w:rsidR="00B00503"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Г.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Новеллы и перспективы интеллектуальной интеграции</w:t>
      </w:r>
    </w:p>
    <w:p w:rsidR="004439B5" w:rsidRPr="00352F53" w:rsidRDefault="004439B5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>Статья посвящена вопросам управления процессами развития интеллектуальной собственности в Евразийском экономическом союзе, включая правовую охрану и защиту прав на объекты интеллектуальной собственности. Внимание уделено результатам работы Евразийской экономической комиссии и уполномоченных органов государств-членов, выявлены общие задачи и достижения государств-членов в сфере интеллектуальной собственности.</w:t>
      </w:r>
    </w:p>
    <w:p w:rsidR="004439B5" w:rsidRPr="00352F53" w:rsidRDefault="004439B5" w:rsidP="004439B5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>* * *</w:t>
      </w:r>
    </w:p>
    <w:p w:rsidR="00F5277C" w:rsidRPr="00352F53" w:rsidRDefault="00F5277C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bCs/>
          <w:caps/>
          <w:color w:val="474747"/>
          <w:sz w:val="22"/>
          <w:szCs w:val="22"/>
        </w:rPr>
      </w:pPr>
    </w:p>
    <w:p w:rsidR="004439B5" w:rsidRPr="00352F53" w:rsidRDefault="004439B5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aps/>
          <w:color w:val="474747"/>
          <w:sz w:val="22"/>
          <w:szCs w:val="22"/>
        </w:rPr>
        <w:t>ПАРОДИИ</w:t>
      </w:r>
    </w:p>
    <w:p w:rsidR="004439B5" w:rsidRPr="00352F53" w:rsidRDefault="004439B5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Ворожевич</w:t>
      </w:r>
      <w:proofErr w:type="spellEnd"/>
      <w:r w:rsidR="00B00503"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А.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Пародия как случай свободного использования объекта авторского права</w:t>
      </w:r>
    </w:p>
    <w:p w:rsidR="004439B5" w:rsidRPr="00352F53" w:rsidRDefault="004439B5" w:rsidP="004439B5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color w:val="474747"/>
          <w:sz w:val="22"/>
          <w:szCs w:val="22"/>
        </w:rPr>
        <w:t>В статье анализируются условия правомерного пародийного использования произведения. Обосновано, что пародийная работа должна носить комичный характер не сама по себе, а в своем обращении к оригинальной работе.</w:t>
      </w:r>
    </w:p>
    <w:p w:rsidR="004439B5" w:rsidRPr="00352F53" w:rsidRDefault="004439B5" w:rsidP="004439B5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color w:val="474747"/>
          <w:sz w:val="22"/>
          <w:szCs w:val="22"/>
        </w:rPr>
        <w:t>* * *</w:t>
      </w:r>
    </w:p>
    <w:p w:rsidR="004439B5" w:rsidRPr="00352F53" w:rsidRDefault="004439B5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aps/>
          <w:color w:val="474747"/>
          <w:sz w:val="22"/>
          <w:szCs w:val="22"/>
        </w:rPr>
        <w:t>ЗАЩИТА ИС</w:t>
      </w:r>
    </w:p>
    <w:p w:rsidR="004439B5" w:rsidRPr="00352F53" w:rsidRDefault="004439B5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Шостак</w:t>
      </w:r>
      <w:r w:rsidR="00B00503"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И.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Правовое регулирование интеллектуальных прав на объекты индустрии моды</w:t>
      </w:r>
    </w:p>
    <w:p w:rsidR="004439B5" w:rsidRPr="00352F53" w:rsidRDefault="00B00503" w:rsidP="004439B5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>И</w:t>
      </w:r>
      <w:r w:rsidR="004439B5" w:rsidRPr="00352F53">
        <w:rPr>
          <w:rFonts w:ascii="Arial" w:hAnsi="Arial" w:cs="Arial"/>
          <w:i/>
          <w:color w:val="474747"/>
          <w:sz w:val="22"/>
          <w:szCs w:val="22"/>
        </w:rPr>
        <w:t xml:space="preserve">сследуются вопросы правового регулирования произведений дизайна: анализируются объекты интеллектуальной собственности в модной индустрии (объекты </w:t>
      </w:r>
      <w:proofErr w:type="spellStart"/>
      <w:r w:rsidR="004439B5" w:rsidRPr="00352F53">
        <w:rPr>
          <w:rFonts w:ascii="Arial" w:hAnsi="Arial" w:cs="Arial"/>
          <w:i/>
          <w:color w:val="474747"/>
          <w:sz w:val="22"/>
          <w:szCs w:val="22"/>
        </w:rPr>
        <w:t>фэшн</w:t>
      </w:r>
      <w:proofErr w:type="spellEnd"/>
      <w:r w:rsidR="004439B5" w:rsidRPr="00352F53">
        <w:rPr>
          <w:rFonts w:ascii="Arial" w:hAnsi="Arial" w:cs="Arial"/>
          <w:i/>
          <w:color w:val="474747"/>
          <w:sz w:val="22"/>
          <w:szCs w:val="22"/>
        </w:rPr>
        <w:t>-дизайна) и возможные режимы их охраны. Установлено, что в зависимости от обстоятельств и особенностей таких объектов, произведения дизайна могут охраняться различными институтами интеллектуальной собственности: авторским правом, патентным правом, средствами индивидуализации (товарным знаком), а также в качестве секретов производства (ноу-хау).</w:t>
      </w:r>
    </w:p>
    <w:p w:rsidR="004439B5" w:rsidRPr="00352F53" w:rsidRDefault="004439B5" w:rsidP="004439B5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lastRenderedPageBreak/>
        <w:t>Ключевые слова: интеллектуальная собственность, интеллектуальные права, личные неимущественные права, имущественные права, исключительное право использования, произведение, произведения дизайна, патентное право, промышленный образец, товарный знак, бренд, секреты производства (ноу-хау)</w:t>
      </w:r>
    </w:p>
    <w:p w:rsidR="004439B5" w:rsidRPr="00352F53" w:rsidRDefault="004439B5" w:rsidP="004439B5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color w:val="474747"/>
          <w:sz w:val="22"/>
          <w:szCs w:val="22"/>
        </w:rPr>
        <w:t>* * *</w:t>
      </w:r>
    </w:p>
    <w:p w:rsidR="004439B5" w:rsidRPr="00352F53" w:rsidRDefault="004439B5" w:rsidP="004439B5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Пономарева</w:t>
      </w:r>
      <w:r w:rsidR="00B00503"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А.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Архитектурное произведение как объект искусства</w:t>
      </w:r>
    </w:p>
    <w:p w:rsidR="004439B5" w:rsidRPr="00352F53" w:rsidRDefault="004439B5" w:rsidP="004439B5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>В статье рассматривается архитектурное произведение как объект авторского права, права автора и заказчика в рамках правоотношений, а также использование архитектурного объекта, разновидности договоров в сфере архитектурной деятельности, охрана архитектурного произведения и защита прав архитектора.</w:t>
      </w:r>
    </w:p>
    <w:p w:rsidR="004439B5" w:rsidRPr="00352F53" w:rsidRDefault="004439B5" w:rsidP="00D109DC">
      <w:pPr>
        <w:pStyle w:val="01"/>
        <w:shd w:val="clear" w:color="auto" w:fill="FFFFFF"/>
        <w:spacing w:before="240" w:beforeAutospacing="0" w:after="240" w:afterAutospacing="0" w:line="276" w:lineRule="auto"/>
        <w:jc w:val="center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color w:val="474747"/>
          <w:sz w:val="22"/>
          <w:szCs w:val="22"/>
        </w:rPr>
        <w:t>* * *</w:t>
      </w:r>
    </w:p>
    <w:p w:rsidR="004439B5" w:rsidRPr="00352F53" w:rsidRDefault="004439B5" w:rsidP="00D109DC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aps/>
          <w:color w:val="474747"/>
          <w:sz w:val="22"/>
          <w:szCs w:val="22"/>
        </w:rPr>
        <w:t>ЦИФРОВЫЕ ТЕХНОЛОГИИ</w:t>
      </w:r>
    </w:p>
    <w:p w:rsidR="004439B5" w:rsidRPr="00352F53" w:rsidRDefault="004439B5" w:rsidP="00D109DC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Федотова</w:t>
      </w:r>
      <w:r w:rsidR="00B00503"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С.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Концепция смарт-контрактов в авторском праве России</w:t>
      </w:r>
    </w:p>
    <w:p w:rsidR="004439B5" w:rsidRPr="00352F53" w:rsidRDefault="004439B5" w:rsidP="00D109DC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>В статье рассматривается правовое регулирование смарт-контрактов авторском праве. Автор рассуждает о правовых проблемах и перспективах использования данных контрактов в цифровой области. В статье также затрагивается вопрос о совместимости свободных (открытых) лицензий со смарт-контрактами.</w:t>
      </w:r>
    </w:p>
    <w:p w:rsidR="004439B5" w:rsidRPr="00352F53" w:rsidRDefault="004439B5" w:rsidP="00D109DC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color w:val="474747"/>
          <w:sz w:val="22"/>
          <w:szCs w:val="22"/>
        </w:rPr>
        <w:t>* * *</w:t>
      </w:r>
    </w:p>
    <w:p w:rsidR="00D109DC" w:rsidRPr="00352F53" w:rsidRDefault="00D109DC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bCs/>
          <w:caps/>
          <w:color w:val="474747"/>
          <w:sz w:val="22"/>
          <w:szCs w:val="22"/>
        </w:rPr>
      </w:pPr>
    </w:p>
    <w:p w:rsidR="004439B5" w:rsidRPr="00352F53" w:rsidRDefault="004439B5" w:rsidP="00D109DC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aps/>
          <w:color w:val="474747"/>
          <w:sz w:val="22"/>
          <w:szCs w:val="22"/>
        </w:rPr>
        <w:t>НАУЧНЫЕ ПРОИЗВЕДЕНИЯ</w:t>
      </w:r>
    </w:p>
    <w:p w:rsidR="004439B5" w:rsidRPr="00352F53" w:rsidRDefault="004439B5" w:rsidP="00D109DC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Гаврилов</w:t>
      </w:r>
      <w:r w:rsidR="00B00503"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Е.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К вопросу о </w:t>
      </w:r>
      <w:proofErr w:type="spellStart"/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самоплагиате</w:t>
      </w:r>
      <w:proofErr w:type="spellEnd"/>
      <w:r w:rsidRPr="00352F53">
        <w:rPr>
          <w:rFonts w:ascii="Arial" w:hAnsi="Arial" w:cs="Arial"/>
          <w:b/>
          <w:iCs/>
          <w:color w:val="474747"/>
          <w:sz w:val="22"/>
          <w:szCs w:val="22"/>
        </w:rPr>
        <w:t xml:space="preserve"> в произведениях науки</w:t>
      </w:r>
    </w:p>
    <w:p w:rsidR="004439B5" w:rsidRPr="00352F53" w:rsidRDefault="004439B5" w:rsidP="00D109DC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>В статье раскрывается содержание понятия «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самоплагиат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 xml:space="preserve"> в произведениях науки», рассматриваются правовой и этический аспекты данной категории, примерные формы 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самоплагиата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 xml:space="preserve"> в научной сфере, а также случаи, внешне похожие на 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самоплагиат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>, но не являющиеся таковым. Автор предлагает внесение изменений в гражданское законодательство, законодательство о науке и государственной научно-технической политике, связанные с закреплением норм о 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самоплагиате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 xml:space="preserve"> в произведениях науки, а также разъяснение отдельных вопросов в постановлении Пленума Верховного Суда РФ.</w:t>
      </w:r>
    </w:p>
    <w:p w:rsidR="004439B5" w:rsidRPr="00352F53" w:rsidRDefault="004439B5" w:rsidP="00D109DC">
      <w:pPr>
        <w:pStyle w:val="01"/>
        <w:shd w:val="clear" w:color="auto" w:fill="FFFFFF"/>
        <w:spacing w:before="240" w:beforeAutospacing="0" w:after="240" w:afterAutospacing="0" w:line="276" w:lineRule="auto"/>
        <w:jc w:val="center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color w:val="474747"/>
          <w:sz w:val="22"/>
          <w:szCs w:val="22"/>
        </w:rPr>
        <w:t>* * *</w:t>
      </w:r>
    </w:p>
    <w:p w:rsidR="004439B5" w:rsidRPr="00352F53" w:rsidRDefault="004439B5" w:rsidP="00D109DC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aps/>
          <w:color w:val="474747"/>
          <w:sz w:val="22"/>
          <w:szCs w:val="22"/>
        </w:rPr>
        <w:t>ПРАВО</w:t>
      </w:r>
    </w:p>
    <w:p w:rsidR="004439B5" w:rsidRPr="00352F53" w:rsidRDefault="004439B5" w:rsidP="00D109DC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b/>
          <w:i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Сагдеева</w:t>
      </w:r>
      <w:r w:rsidR="00B00503"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Л.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Отказ от исключительного права</w:t>
      </w:r>
    </w:p>
    <w:p w:rsidR="004439B5" w:rsidRPr="00352F53" w:rsidRDefault="004439B5" w:rsidP="00D109DC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 xml:space="preserve">Автор статьи рассматривает вопрос правомерности полного отказа от исключительного права (п. 5 ст. 1233 ГК РФ, ст. 1286.1 ГК РФ) и возможности применения аналогии с отказом от права собственности (ст. 236 ГК РФ). Методология исследования обусловлена спецификой избранного предмета и включает в себя набор общенаучных методов научного познания (анализ, синтез, сравнение). </w:t>
      </w:r>
      <w:r w:rsidRPr="00352F53">
        <w:rPr>
          <w:rFonts w:ascii="Arial" w:hAnsi="Arial" w:cs="Arial"/>
          <w:i/>
          <w:color w:val="474747"/>
          <w:sz w:val="22"/>
          <w:szCs w:val="22"/>
        </w:rPr>
        <w:lastRenderedPageBreak/>
        <w:t>Основные выводы исследования: представляется, что диспозитивность регулирования гражданских отношений, приобретение и осуществление гражданских прав участниками своей волей и в своем интересе (п. 2 ст. 1 ГК РФ) предполагают, что по общему правилу участники вправе отказаться не только от осуществления своих имущественных гражданских прав (п. 2 ст. 9 ГК РФ), но и от самих прав. Вместе с тем правомерность отказа от исключительного права и конкретные правовые последствия такого отказа будут различны в зависимости от объекта, составляющего интеллектуальную собственность.</w:t>
      </w:r>
    </w:p>
    <w:p w:rsidR="004439B5" w:rsidRPr="00352F53" w:rsidRDefault="004439B5" w:rsidP="00D109DC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color w:val="474747"/>
          <w:sz w:val="22"/>
          <w:szCs w:val="22"/>
        </w:rPr>
        <w:t>* * *</w:t>
      </w:r>
    </w:p>
    <w:p w:rsidR="00B00503" w:rsidRPr="00352F53" w:rsidRDefault="00B00503" w:rsidP="00D109DC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b/>
          <w:bCs/>
          <w:caps/>
          <w:color w:val="474747"/>
          <w:sz w:val="22"/>
          <w:szCs w:val="22"/>
        </w:rPr>
      </w:pPr>
    </w:p>
    <w:p w:rsidR="004439B5" w:rsidRPr="00352F53" w:rsidRDefault="004439B5" w:rsidP="00D109DC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aps/>
          <w:color w:val="474747"/>
          <w:sz w:val="22"/>
          <w:szCs w:val="22"/>
        </w:rPr>
        <w:t>ЗАЩИТА ПРАВ ИС В ФУТБОЛЕ</w:t>
      </w:r>
    </w:p>
    <w:p w:rsidR="004439B5" w:rsidRPr="00352F53" w:rsidRDefault="004439B5" w:rsidP="00D109DC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Мельникова</w:t>
      </w:r>
      <w:r w:rsidR="00B00503"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М.</w:t>
      </w: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, Никонова</w:t>
      </w:r>
      <w:r w:rsidR="00B00503"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А.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Правовая охрана символики глобальных спортивных мероприятий</w:t>
      </w:r>
    </w:p>
    <w:p w:rsidR="004439B5" w:rsidRPr="00352F53" w:rsidRDefault="00D109DC" w:rsidP="00D109DC">
      <w:pPr>
        <w:pStyle w:val="01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>Авторы</w:t>
      </w:r>
      <w:r w:rsidR="004439B5" w:rsidRPr="00352F53">
        <w:rPr>
          <w:rFonts w:ascii="Arial" w:hAnsi="Arial" w:cs="Arial"/>
          <w:i/>
          <w:color w:val="474747"/>
          <w:sz w:val="22"/>
          <w:szCs w:val="22"/>
        </w:rPr>
        <w:t xml:space="preserve"> посвятили свою статью правовой охране символики глобальных спортивных мероприятий. Дается анализ основных положений документов, регулирующих данный вопрос, а также способов защиты и охраны символики. Приводятся количественные показатели возбуждения и рассмотрения дел о незаконном использовании спортивной символики.</w:t>
      </w:r>
    </w:p>
    <w:p w:rsidR="00B00503" w:rsidRPr="00352F53" w:rsidRDefault="00B0050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</w:p>
    <w:p w:rsidR="00B00503" w:rsidRPr="00352F53" w:rsidRDefault="00B0050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</w:p>
    <w:p w:rsidR="00B00503" w:rsidRPr="00352F53" w:rsidRDefault="00B0050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</w:p>
    <w:p w:rsidR="00B00503" w:rsidRPr="00352F53" w:rsidRDefault="00B0050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</w:p>
    <w:p w:rsidR="00B00503" w:rsidRPr="00352F53" w:rsidRDefault="00B0050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</w:p>
    <w:p w:rsidR="00B00503" w:rsidRPr="00352F53" w:rsidRDefault="00B0050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</w:p>
    <w:p w:rsidR="00B00503" w:rsidRPr="00352F53" w:rsidRDefault="00B0050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</w:p>
    <w:p w:rsidR="00B00503" w:rsidRPr="00352F53" w:rsidRDefault="00B0050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</w:p>
    <w:p w:rsidR="00352F53" w:rsidRDefault="00352F5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</w:rPr>
      </w:pPr>
    </w:p>
    <w:p w:rsidR="00352F53" w:rsidRDefault="00352F5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</w:rPr>
      </w:pPr>
    </w:p>
    <w:p w:rsidR="00352F53" w:rsidRDefault="00352F5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</w:rPr>
      </w:pPr>
    </w:p>
    <w:p w:rsidR="00352F53" w:rsidRDefault="00352F5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</w:rPr>
      </w:pPr>
    </w:p>
    <w:p w:rsidR="00352F53" w:rsidRDefault="00352F5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</w:rPr>
      </w:pPr>
    </w:p>
    <w:p w:rsidR="00352F53" w:rsidRDefault="00352F5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</w:rPr>
      </w:pPr>
    </w:p>
    <w:p w:rsidR="00352F53" w:rsidRDefault="00352F5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</w:rPr>
      </w:pPr>
    </w:p>
    <w:p w:rsidR="00352F53" w:rsidRDefault="00352F5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</w:rPr>
      </w:pPr>
    </w:p>
    <w:p w:rsidR="00826709" w:rsidRPr="00352F53" w:rsidRDefault="005A32E8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</w:rPr>
      </w:pPr>
      <w:r w:rsidRPr="00352F53">
        <w:rPr>
          <w:rFonts w:ascii="Arial" w:hAnsi="Arial" w:cs="Arial"/>
          <w:b/>
          <w:color w:val="474747"/>
        </w:rPr>
        <w:lastRenderedPageBreak/>
        <w:t>№ 11, 2019</w:t>
      </w:r>
    </w:p>
    <w:p w:rsidR="005A32E8" w:rsidRPr="00352F53" w:rsidRDefault="005A32E8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noProof/>
          <w:color w:val="474747"/>
          <w:sz w:val="22"/>
          <w:szCs w:val="22"/>
        </w:rPr>
        <w:drawing>
          <wp:inline distT="0" distB="0" distL="0" distR="0">
            <wp:extent cx="1333599" cy="1885950"/>
            <wp:effectExtent l="0" t="0" r="0" b="0"/>
            <wp:docPr id="4" name="Рисунок 4" descr="w AP 11 19 Страница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 AP 11 19 Страница 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45" cy="195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2E8" w:rsidRPr="00352F53" w:rsidRDefault="005A32E8" w:rsidP="005A32E8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ЗАРУБЕЖНОЕ ЗАКОНОДАТЕЛЬСТВО</w:t>
      </w:r>
    </w:p>
    <w:p w:rsidR="005A32E8" w:rsidRPr="00352F53" w:rsidRDefault="005A32E8" w:rsidP="005A32E8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Еременко В.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Директива Евросоюза о реформе авторского права в рамках единого цифрового рынка</w:t>
      </w:r>
    </w:p>
    <w:p w:rsidR="005A32E8" w:rsidRPr="00352F53" w:rsidRDefault="005A32E8" w:rsidP="005A32E8">
      <w:pPr>
        <w:pStyle w:val="01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>Статья посвящена анализу основных положений Директивы (ЕС) 2019/790 Европейского Парламента и Совета от 17 апреля 2019 г. об авторском праве и смежных правах в Едином цифровом рынке и о внесении изменений в Директивы 96/9/ЕС и 2001/29/ЕС, направленных на обновление нормативных актов Европейского Союза в указанной области в условиях расширения использования произведений или иных охраняемых объектов в цифровой и трансграничной среде.</w:t>
      </w:r>
    </w:p>
    <w:p w:rsidR="005A32E8" w:rsidRPr="00352F53" w:rsidRDefault="005A32E8" w:rsidP="005A32E8">
      <w:pPr>
        <w:pStyle w:val="01"/>
        <w:jc w:val="center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color w:val="474747"/>
          <w:sz w:val="22"/>
          <w:szCs w:val="22"/>
        </w:rPr>
        <w:t>* * *</w:t>
      </w:r>
    </w:p>
    <w:p w:rsidR="005A32E8" w:rsidRPr="00352F53" w:rsidRDefault="005A32E8" w:rsidP="005A32E8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ДОМЕННЫЕ ИМЕНА</w:t>
      </w:r>
    </w:p>
    <w:p w:rsidR="005A32E8" w:rsidRPr="00352F53" w:rsidRDefault="005A32E8" w:rsidP="005A32E8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Серго А.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Администратор домена как «информационный посредник» в спорах о защите интеллектуальных прав</w:t>
      </w:r>
    </w:p>
    <w:p w:rsidR="005A32E8" w:rsidRPr="00352F53" w:rsidRDefault="005A32E8" w:rsidP="005A32E8">
      <w:pPr>
        <w:pStyle w:val="01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>В статье рассматривается сравнительно новый для российского права субъект – «информационный посредник», который все чаще фигурирует в спорах о защите авторских прав в сети Интернет. Интересно, что на практике понятие «информационный посредник» применяется как к субъекту права (физическое, юридическое лицо), так и к объекту права (сайт, портал). Является ли регистратор доменного имени информационным посредником? А администратор? Противоречивость подходов к пониманию сути этого понятия породила желание немного разобраться в этом вопросе.</w:t>
      </w:r>
    </w:p>
    <w:p w:rsidR="005A32E8" w:rsidRPr="00352F53" w:rsidRDefault="005A32E8" w:rsidP="005A32E8">
      <w:pPr>
        <w:pStyle w:val="01"/>
        <w:jc w:val="center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color w:val="474747"/>
          <w:sz w:val="22"/>
          <w:szCs w:val="22"/>
        </w:rPr>
        <w:t>* * *</w:t>
      </w:r>
    </w:p>
    <w:p w:rsidR="005A32E8" w:rsidRPr="00352F53" w:rsidRDefault="00352F53" w:rsidP="005A32E8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r>
        <w:rPr>
          <w:rFonts w:ascii="Arial" w:hAnsi="Arial" w:cs="Arial"/>
          <w:b/>
          <w:bCs/>
          <w:color w:val="474747"/>
          <w:sz w:val="22"/>
          <w:szCs w:val="22"/>
        </w:rPr>
        <w:t>С</w:t>
      </w:r>
      <w:r w:rsidR="005A32E8" w:rsidRPr="00352F53">
        <w:rPr>
          <w:rFonts w:ascii="Arial" w:hAnsi="Arial" w:cs="Arial"/>
          <w:b/>
          <w:bCs/>
          <w:color w:val="474747"/>
          <w:sz w:val="22"/>
          <w:szCs w:val="22"/>
        </w:rPr>
        <w:t>МЕЖНЫЕ ПРАВА</w:t>
      </w:r>
    </w:p>
    <w:p w:rsidR="005A32E8" w:rsidRPr="00352F53" w:rsidRDefault="005A32E8" w:rsidP="005A32E8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Ворожевич</w:t>
      </w:r>
      <w:proofErr w:type="spellEnd"/>
      <w:r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А.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Границы смежных прав</w:t>
      </w:r>
    </w:p>
    <w:p w:rsidR="005A32E8" w:rsidRPr="00352F53" w:rsidRDefault="005A32E8" w:rsidP="005A32E8">
      <w:pPr>
        <w:pStyle w:val="01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>В статье рассматривается сущность и назначение временных, содержательных и объективных границ исключительных смежных прав, анализируются проблемы, связанные с их установлением. Исследование выполнено при финансовой поддержке Российского фонда фундаментальных исследований в рамках научного проекта № 19-011-00739.</w:t>
      </w:r>
    </w:p>
    <w:p w:rsidR="00352F53" w:rsidRDefault="00352F53" w:rsidP="00B00503">
      <w:pPr>
        <w:pStyle w:val="01"/>
        <w:jc w:val="center"/>
        <w:rPr>
          <w:rFonts w:ascii="Arial" w:hAnsi="Arial" w:cs="Arial"/>
          <w:b/>
          <w:color w:val="474747"/>
          <w:sz w:val="22"/>
          <w:szCs w:val="22"/>
        </w:rPr>
      </w:pPr>
    </w:p>
    <w:p w:rsidR="005A32E8" w:rsidRDefault="005A32E8" w:rsidP="00B00503">
      <w:pPr>
        <w:pStyle w:val="01"/>
        <w:jc w:val="center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color w:val="474747"/>
          <w:sz w:val="22"/>
          <w:szCs w:val="22"/>
        </w:rPr>
        <w:lastRenderedPageBreak/>
        <w:t>* * *</w:t>
      </w:r>
    </w:p>
    <w:p w:rsidR="005A32E8" w:rsidRPr="00352F53" w:rsidRDefault="005A32E8" w:rsidP="005A32E8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ПАРОДИИ</w:t>
      </w:r>
    </w:p>
    <w:p w:rsidR="005A32E8" w:rsidRPr="00352F53" w:rsidRDefault="005A32E8" w:rsidP="005A32E8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Шостак</w:t>
      </w:r>
      <w:r w:rsidR="00B00503"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И.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Проблемы правового регулирования пародий и карикатур</w:t>
      </w:r>
    </w:p>
    <w:p w:rsidR="005A32E8" w:rsidRPr="00352F53" w:rsidRDefault="005A32E8" w:rsidP="005A32E8">
      <w:pPr>
        <w:pStyle w:val="01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>В статье исследуются вопросы правового регулирования пародий и карикатур. В статье анализируются понятия «пародия» и «карикатура», а также выявляются значимые юридические признаки таких видов произведений. Автор устанавливает, что карикатуры и пародии сами по себе являются произведениями, охраняемые авторским правом. Кроме того, анализируются нормы Гражданского кодекса о том, что создание пародий и карикатур – это случае свободного использования произведений.</w:t>
      </w:r>
    </w:p>
    <w:p w:rsidR="005A32E8" w:rsidRPr="00352F53" w:rsidRDefault="005A32E8" w:rsidP="00B00503">
      <w:pPr>
        <w:pStyle w:val="01"/>
        <w:jc w:val="center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color w:val="474747"/>
          <w:sz w:val="22"/>
          <w:szCs w:val="22"/>
        </w:rPr>
        <w:t>* * *</w:t>
      </w:r>
    </w:p>
    <w:p w:rsidR="005A32E8" w:rsidRPr="00352F53" w:rsidRDefault="005A32E8" w:rsidP="005A32E8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ЦИФРОВЫЕ ТЕХНОЛОГИИ</w:t>
      </w:r>
    </w:p>
    <w:p w:rsidR="005A32E8" w:rsidRPr="00352F53" w:rsidRDefault="005A32E8" w:rsidP="005A32E8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Сёмин</w:t>
      </w:r>
      <w:proofErr w:type="spellEnd"/>
      <w:r w:rsidR="00B00503"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П.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 xml:space="preserve">Авторские и смежные права при </w:t>
      </w:r>
      <w:proofErr w:type="spellStart"/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скрейпинге</w:t>
      </w:r>
      <w:proofErr w:type="spellEnd"/>
      <w:r w:rsidRPr="00352F53">
        <w:rPr>
          <w:rFonts w:ascii="Arial" w:hAnsi="Arial" w:cs="Arial"/>
          <w:b/>
          <w:iCs/>
          <w:color w:val="474747"/>
          <w:sz w:val="22"/>
          <w:szCs w:val="22"/>
        </w:rPr>
        <w:t xml:space="preserve"> сайтов в сети Интернет</w:t>
      </w:r>
    </w:p>
    <w:p w:rsidR="005A32E8" w:rsidRPr="00352F53" w:rsidRDefault="005A32E8" w:rsidP="005A32E8">
      <w:pPr>
        <w:pStyle w:val="01"/>
        <w:rPr>
          <w:rFonts w:ascii="Arial" w:hAnsi="Arial" w:cs="Arial"/>
          <w:i/>
          <w:color w:val="474747"/>
          <w:sz w:val="22"/>
          <w:szCs w:val="22"/>
        </w:rPr>
      </w:pP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Скрейпинг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 xml:space="preserve"> – это автоматизированный сбор общедоступной информации в сети Интернет без использования программного интерфейса. 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Скрейпинг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> актуален в рамках проблем регулирования больших данных. Недавний спор фирмы «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Дабл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>» с социальной сетью «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ВКонтакте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 xml:space="preserve">» привлек внимание к правовым аспектам 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скрейпинга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 xml:space="preserve">. </w:t>
      </w:r>
      <w:r w:rsidR="00B00503" w:rsidRPr="00352F53">
        <w:rPr>
          <w:rFonts w:ascii="Arial" w:hAnsi="Arial" w:cs="Arial"/>
          <w:i/>
          <w:color w:val="474747"/>
          <w:sz w:val="22"/>
          <w:szCs w:val="22"/>
        </w:rPr>
        <w:t xml:space="preserve">В статье </w:t>
      </w:r>
      <w:r w:rsidRPr="00352F53">
        <w:rPr>
          <w:rFonts w:ascii="Arial" w:hAnsi="Arial" w:cs="Arial"/>
          <w:i/>
          <w:color w:val="474747"/>
          <w:sz w:val="22"/>
          <w:szCs w:val="22"/>
        </w:rPr>
        <w:t xml:space="preserve">проводится анализ 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скрейпинга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 xml:space="preserve"> с точки зрения российского авторского права и смежных прав. Предлагается четырехступенчатый тест для определения правомерности 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скрейпинга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>.</w:t>
      </w:r>
    </w:p>
    <w:p w:rsidR="005A32E8" w:rsidRPr="00352F53" w:rsidRDefault="005A32E8" w:rsidP="00B00503">
      <w:pPr>
        <w:pStyle w:val="01"/>
        <w:jc w:val="center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color w:val="474747"/>
          <w:sz w:val="22"/>
          <w:szCs w:val="22"/>
        </w:rPr>
        <w:t>* * *</w:t>
      </w:r>
    </w:p>
    <w:p w:rsidR="005A32E8" w:rsidRPr="00352F53" w:rsidRDefault="005A32E8" w:rsidP="005A32E8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НОВОСТИ</w:t>
      </w:r>
    </w:p>
    <w:p w:rsidR="005A32E8" w:rsidRPr="00352F53" w:rsidRDefault="005A32E8" w:rsidP="005A32E8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color w:val="474747"/>
          <w:sz w:val="22"/>
          <w:szCs w:val="22"/>
        </w:rPr>
        <w:t>Официальная позиция Авторского совета Российского авторского общества (РАО) касательно повышения ставок для физических лиц, индивидуальных предпринимателей и юридических лиц (компаний)</w:t>
      </w:r>
    </w:p>
    <w:p w:rsidR="005A32E8" w:rsidRPr="00352F53" w:rsidRDefault="005A32E8" w:rsidP="005A32E8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r w:rsidRPr="00352F53">
        <w:rPr>
          <w:rFonts w:ascii="Arial" w:hAnsi="Arial" w:cs="Arial"/>
          <w:b/>
          <w:color w:val="474747"/>
          <w:sz w:val="22"/>
          <w:szCs w:val="22"/>
        </w:rPr>
        <w:t>Кризисные меры: на внеочередной конференции РАО внесло в Устав организации назревшие изменения</w:t>
      </w:r>
    </w:p>
    <w:p w:rsidR="00CF6E3C" w:rsidRPr="00352F53" w:rsidRDefault="00CF6E3C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</w:p>
    <w:p w:rsidR="00352F53" w:rsidRDefault="00352F5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  <w:lang w:val="en-US"/>
        </w:rPr>
      </w:pPr>
    </w:p>
    <w:p w:rsidR="00352F53" w:rsidRDefault="00352F5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  <w:lang w:val="en-US"/>
        </w:rPr>
      </w:pPr>
    </w:p>
    <w:p w:rsidR="00352F53" w:rsidRPr="00352F53" w:rsidRDefault="00352F5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lang w:val="en-US"/>
        </w:rPr>
      </w:pPr>
    </w:p>
    <w:p w:rsidR="00352F53" w:rsidRDefault="00352F5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lang w:val="en-US"/>
        </w:rPr>
      </w:pPr>
    </w:p>
    <w:p w:rsidR="00352F53" w:rsidRDefault="00352F5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lang w:val="en-US"/>
        </w:rPr>
      </w:pPr>
    </w:p>
    <w:p w:rsidR="00352F53" w:rsidRDefault="00352F5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lang w:val="en-US"/>
        </w:rPr>
      </w:pPr>
    </w:p>
    <w:p w:rsidR="00352F53" w:rsidRDefault="00352F5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lang w:val="en-US"/>
        </w:rPr>
      </w:pPr>
    </w:p>
    <w:p w:rsidR="00352F53" w:rsidRDefault="00352F5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lang w:val="en-US"/>
        </w:rPr>
      </w:pPr>
    </w:p>
    <w:p w:rsidR="005A32E8" w:rsidRPr="00352F53" w:rsidRDefault="00B00503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lang w:val="en-US"/>
        </w:rPr>
      </w:pPr>
      <w:r w:rsidRPr="00352F53">
        <w:rPr>
          <w:rFonts w:ascii="Arial" w:hAnsi="Arial" w:cs="Arial"/>
          <w:b/>
          <w:color w:val="474747"/>
          <w:lang w:val="en-US"/>
        </w:rPr>
        <w:lastRenderedPageBreak/>
        <w:t>№ 1</w:t>
      </w:r>
      <w:r w:rsidRPr="00352F53">
        <w:rPr>
          <w:rFonts w:ascii="Arial" w:hAnsi="Arial" w:cs="Arial"/>
          <w:b/>
          <w:color w:val="474747"/>
        </w:rPr>
        <w:t>2</w:t>
      </w:r>
      <w:r w:rsidRPr="00352F53">
        <w:rPr>
          <w:rFonts w:ascii="Arial" w:hAnsi="Arial" w:cs="Arial"/>
          <w:b/>
          <w:color w:val="474747"/>
          <w:lang w:val="en-US"/>
        </w:rPr>
        <w:t>, 2019</w:t>
      </w:r>
    </w:p>
    <w:p w:rsidR="00847F5F" w:rsidRPr="00352F53" w:rsidRDefault="00847F5F" w:rsidP="004439B5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  <w:lang w:val="en-US"/>
        </w:rPr>
      </w:pPr>
      <w:r w:rsidRPr="00352F53">
        <w:rPr>
          <w:rFonts w:ascii="Arial" w:hAnsi="Arial" w:cs="Arial"/>
          <w:b/>
          <w:color w:val="474747"/>
          <w:sz w:val="22"/>
          <w:szCs w:val="22"/>
        </w:rPr>
        <w:drawing>
          <wp:inline distT="0" distB="0" distL="0" distR="0">
            <wp:extent cx="1400175" cy="1980102"/>
            <wp:effectExtent l="0" t="0" r="0" b="1270"/>
            <wp:docPr id="3" name="Рисунок 3" descr="w AP 12 19 Страница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 AP 12 19 Страница 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12" cy="200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aps/>
          <w:color w:val="474747"/>
          <w:sz w:val="22"/>
          <w:szCs w:val="22"/>
        </w:rPr>
        <w:t>ЗАРУБЕЖНОЕ ЗАКОНОДАТЕЛЬСТВО</w:t>
      </w: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proofErr w:type="spellStart"/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Шугуров</w:t>
      </w:r>
      <w:proofErr w:type="spellEnd"/>
      <w:r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М.</w:t>
      </w: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Директива ЕС об авторском праве на Едином цифровом рынке: дискуссионные вопросы</w:t>
      </w: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 xml:space="preserve">Статья посвящена анализу Директивы ЕС 2019/790 об авторском праве на Едином цифровом рынке как важнейшем достижении в рамках процесса реформирования авторского права и смежных прав и их адаптации к условиям современной цифровой среды. Предметом специального внимания выступили спорные моменты положений ст. 15 и ст. 17, в которых, как было установлено, все же в определенной степени были учтены замечания, высказанные в процессе обсуждения ст. 11 («налог на ссылки») и ст. 13 («фильтры для загружаемого контента») проекта. Представленное исследование включает не только детальное рассмотрение положений соответствующих положений статей Директивы и ее проекта в сравнительно-правовом ключе, но и изучение сходных норм национального законодательства государств – членов ЕС, а также анализ аргументированных позиций разных групп 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стейкхолдеров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>.</w:t>
      </w: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color w:val="474747"/>
          <w:sz w:val="22"/>
          <w:szCs w:val="22"/>
        </w:rPr>
        <w:t>* * *</w:t>
      </w: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aps/>
          <w:color w:val="474747"/>
          <w:sz w:val="22"/>
          <w:szCs w:val="22"/>
        </w:rPr>
        <w:t>УЧЕБНЫЕ ПРОИЗВЕДЕНИЯ</w:t>
      </w: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Салицкая</w:t>
      </w:r>
      <w:proofErr w:type="spellEnd"/>
      <w:r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Е., Стороженко</w:t>
      </w: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О.</w:t>
      </w: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Ключевые задачи университетов в области управления авторскими правами на произведения</w:t>
      </w: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>В статье представлен взгляд на проблему управления интеллектуальной собственностью университета с точки зрения решения вопросов принадлежности и реализации авторских прав на произведения науки, литературы и искусства. Определено место произведений среди других видов охраняемых интеллектуальными правами объектов, которые создаются в вузе. Авторы выделяют различные категории произведений, в том числе с учетом той роли, которую они играют в обеспечении образовательной и научно-исследовательской деятельности университета. В статье сформулированы вопросы, которые, по мнению авторов, должны быть рассмотрены при формировании в вузе системы управления интеллектуальными правами. Также представлен анализ подходов к регулированию авторских прав на произведения, реализуемых некоторыми из известных зарубежных университетов.</w:t>
      </w:r>
    </w:p>
    <w:p w:rsidR="00352F53" w:rsidRDefault="00352F53" w:rsidP="00847F5F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</w:p>
    <w:p w:rsidR="00352F53" w:rsidRDefault="00352F53" w:rsidP="00847F5F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color w:val="474747"/>
          <w:sz w:val="22"/>
          <w:szCs w:val="22"/>
        </w:rPr>
        <w:lastRenderedPageBreak/>
        <w:t>* * *</w:t>
      </w: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aps/>
          <w:color w:val="474747"/>
          <w:sz w:val="22"/>
          <w:szCs w:val="22"/>
        </w:rPr>
        <w:t>ОБЪЕКТЫ АВТОРСКОГО ПРАВА</w:t>
      </w: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Гаврюшкин</w:t>
      </w:r>
      <w:proofErr w:type="spellEnd"/>
      <w:r w:rsidR="00352F53"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С.</w:t>
      </w: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«Модное» право: конфликт интересов фотографа и модели. Объекты авторского права на теле гражданина</w:t>
      </w: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>Использование творческого труда происходит не только в сфере бизнеса, изобразительного искусства, но и при проведении любительских фотосъемок с участием обычных людей (непрофессиональных моделей), позирующих не за гонорар, а за результат (фотографию) и возможность поделиться ею с друзьями в социальной сети. Любительские фотосъемки представляют особую актуальность, ведь каждый хотя бы раз в жизни и участвовал в подобном мероприятии. Однако дать согласие на съемку, сделать макияж и прическу, подобрать наряд и локацию легко, а вот использовать в дальнейшем такие фото не так уж и просто, ведь есть множество подводных камней, о которых вряд ли задумываются обыватели. В связи с этим в статье подробно рассматривается объем прав фотографа и модели на объекты авторского права, т. е. на фотографические произведения, приводятся практические проблемы столкновения прав фотографа и модели на основе изучения действующей судебной практики, а также анализируется правовая природа таких специфических объектов авторского права, как прическа, макияж и татуировка.</w:t>
      </w: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Кабалина</w:t>
      </w:r>
      <w:proofErr w:type="spellEnd"/>
      <w:r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Д. 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Особенности предоставления авторских прав уличным художникам</w:t>
      </w: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 xml:space="preserve">В статье поднимается вопрос о необходимости правовой охраны произведений уличного искусства стрит-арта. Устоявшееся мнение об уличном искусстве как о явлении исключительно уголовно-правовом давно потеряло свою аргументацию. Регионы меняют свое отношение к стрит-арту, высказываясь о декриминализации произведений </w:t>
      </w:r>
      <w:proofErr w:type="spellStart"/>
      <w:r w:rsidRPr="00352F53">
        <w:rPr>
          <w:rFonts w:ascii="Arial" w:hAnsi="Arial" w:cs="Arial"/>
          <w:i/>
          <w:color w:val="474747"/>
          <w:sz w:val="22"/>
          <w:szCs w:val="22"/>
        </w:rPr>
        <w:t>стритартеров</w:t>
      </w:r>
      <w:proofErr w:type="spellEnd"/>
      <w:r w:rsidRPr="00352F53">
        <w:rPr>
          <w:rFonts w:ascii="Arial" w:hAnsi="Arial" w:cs="Arial"/>
          <w:i/>
          <w:color w:val="474747"/>
          <w:sz w:val="22"/>
          <w:szCs w:val="22"/>
        </w:rPr>
        <w:t>. Все чаще местные органы власти посредством различных мероприятий приглашают художников украсить объекты городской инфраструктуры для облагораживания территорий, наделения их статусом прогрессивного района и привлечения туристов. В связи с этим в статье проводится анализ применения национального законодательства об авторском праве к произведениям уличного вида искусства, а также рассматриваются схожие правоотношения в США и Великобритании.</w:t>
      </w: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color w:val="474747"/>
          <w:sz w:val="22"/>
          <w:szCs w:val="22"/>
        </w:rPr>
        <w:t>* * *</w:t>
      </w: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aps/>
          <w:color w:val="474747"/>
          <w:sz w:val="22"/>
          <w:szCs w:val="22"/>
        </w:rPr>
        <w:t>СОСТАВНЫЕ ПРОИЗВЕДЕНИЯ</w:t>
      </w: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proofErr w:type="spellStart"/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Цилюрик</w:t>
      </w:r>
      <w:proofErr w:type="spellEnd"/>
      <w:r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У.</w:t>
      </w: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Охрана и защита прав на интернет-сайт: некоторые вопросы теории и практики</w:t>
      </w: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352F53">
        <w:rPr>
          <w:rFonts w:ascii="Arial" w:hAnsi="Arial" w:cs="Arial"/>
          <w:i/>
          <w:color w:val="474747"/>
          <w:sz w:val="22"/>
          <w:szCs w:val="22"/>
        </w:rPr>
        <w:t>Статья посвящена вопросам правового регулирования отношений, связанных с созданием и использованием интернет-сайта как составного произведения. Автором анализируются существующие подходы к пониманию правовой природы данного объекта интеллектуальной собственности и формулируется вывод о специфике и объеме его правовой охраны. На этой основе отмечаются некоторые особенности и проблемные аспекты правоприменительной практики, которые следует учитывать на этапах создания и использования интернет-сайта, а также в процессе защиты исключительного права на данный объект.</w:t>
      </w: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color w:val="474747"/>
          <w:sz w:val="22"/>
          <w:szCs w:val="22"/>
        </w:rPr>
        <w:t>* * *</w:t>
      </w: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b/>
          <w:bCs/>
          <w:caps/>
          <w:color w:val="474747"/>
          <w:sz w:val="22"/>
          <w:szCs w:val="22"/>
        </w:rPr>
        <w:t>ИСКЛЮЧИТЕЛЬНЫЕ ПРАВА</w:t>
      </w: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Масальцева</w:t>
      </w:r>
      <w:proofErr w:type="spellEnd"/>
      <w:r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>А.</w:t>
      </w:r>
      <w:r w:rsidRPr="00352F5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352F53">
        <w:rPr>
          <w:rFonts w:ascii="Arial" w:hAnsi="Arial" w:cs="Arial"/>
          <w:b/>
          <w:iCs/>
          <w:color w:val="474747"/>
          <w:sz w:val="22"/>
          <w:szCs w:val="22"/>
        </w:rPr>
        <w:t>Особенности правового режима вознаграждения при ограничении исключительного права в соответствии со статьями 1245 и 1326 ГК РФ</w:t>
      </w:r>
    </w:p>
    <w:p w:rsidR="00847F5F" w:rsidRPr="00352F53" w:rsidRDefault="00847F5F" w:rsidP="00847F5F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352F53">
        <w:rPr>
          <w:rFonts w:ascii="Arial" w:hAnsi="Arial" w:cs="Arial"/>
          <w:color w:val="474747"/>
          <w:sz w:val="22"/>
          <w:szCs w:val="22"/>
        </w:rPr>
        <w:lastRenderedPageBreak/>
        <w:t>В статье</w:t>
      </w:r>
      <w:r w:rsidRPr="00352F53">
        <w:rPr>
          <w:rFonts w:ascii="Arial" w:hAnsi="Arial" w:cs="Arial"/>
          <w:color w:val="474747"/>
          <w:sz w:val="22"/>
          <w:szCs w:val="22"/>
        </w:rPr>
        <w:t xml:space="preserve"> </w:t>
      </w:r>
      <w:r w:rsidRPr="00352F53">
        <w:rPr>
          <w:rFonts w:ascii="Arial" w:hAnsi="Arial" w:cs="Arial"/>
          <w:color w:val="474747"/>
          <w:sz w:val="22"/>
          <w:szCs w:val="22"/>
        </w:rPr>
        <w:t>рассматривается право на вознаграждение, которое является важной частью исключительного права, принадлежащего автору или правообладателю. Даже в случаях установленного нормами закона ограничения исключительного права, в соответствии со статьями 1245 и 1326 ГК РФ, право на воз</w:t>
      </w:r>
      <w:bookmarkStart w:id="0" w:name="_GoBack"/>
      <w:bookmarkEnd w:id="0"/>
      <w:r w:rsidRPr="00352F53">
        <w:rPr>
          <w:rFonts w:ascii="Arial" w:hAnsi="Arial" w:cs="Arial"/>
          <w:color w:val="474747"/>
          <w:sz w:val="22"/>
          <w:szCs w:val="22"/>
        </w:rPr>
        <w:t>награждение остается неизменным. В названных случаях вознаграждение собирают специально созданные организации коллективного управления авторскими и смежными правами, а само вознаграждение при этом обладает рядом специфических признаков.</w:t>
      </w:r>
    </w:p>
    <w:sectPr w:rsidR="00847F5F" w:rsidRPr="00352F53" w:rsidSect="005D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D6A"/>
    <w:multiLevelType w:val="multilevel"/>
    <w:tmpl w:val="D61A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37211"/>
    <w:multiLevelType w:val="multilevel"/>
    <w:tmpl w:val="951A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27ACB"/>
    <w:multiLevelType w:val="multilevel"/>
    <w:tmpl w:val="0B6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64EDC"/>
    <w:multiLevelType w:val="multilevel"/>
    <w:tmpl w:val="3344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B6BEA"/>
    <w:multiLevelType w:val="multilevel"/>
    <w:tmpl w:val="608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54A74"/>
    <w:multiLevelType w:val="multilevel"/>
    <w:tmpl w:val="23E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11038"/>
    <w:multiLevelType w:val="multilevel"/>
    <w:tmpl w:val="DD5E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A632D"/>
    <w:multiLevelType w:val="multilevel"/>
    <w:tmpl w:val="FF16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E2BC7"/>
    <w:multiLevelType w:val="multilevel"/>
    <w:tmpl w:val="6B02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E16BD"/>
    <w:multiLevelType w:val="multilevel"/>
    <w:tmpl w:val="1F98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D5F04"/>
    <w:multiLevelType w:val="multilevel"/>
    <w:tmpl w:val="D1E4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505A6"/>
    <w:multiLevelType w:val="multilevel"/>
    <w:tmpl w:val="D91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D182D"/>
    <w:multiLevelType w:val="multilevel"/>
    <w:tmpl w:val="35F8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63F70"/>
    <w:multiLevelType w:val="multilevel"/>
    <w:tmpl w:val="D7A0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6B7877"/>
    <w:multiLevelType w:val="multilevel"/>
    <w:tmpl w:val="9D40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B111A"/>
    <w:multiLevelType w:val="multilevel"/>
    <w:tmpl w:val="7E0C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5E4017"/>
    <w:multiLevelType w:val="multilevel"/>
    <w:tmpl w:val="CDA8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A5C39"/>
    <w:multiLevelType w:val="multilevel"/>
    <w:tmpl w:val="7D9E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F544B7"/>
    <w:multiLevelType w:val="multilevel"/>
    <w:tmpl w:val="EC12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046753"/>
    <w:multiLevelType w:val="multilevel"/>
    <w:tmpl w:val="4CF0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04955"/>
    <w:multiLevelType w:val="multilevel"/>
    <w:tmpl w:val="16DE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022A5D"/>
    <w:multiLevelType w:val="multilevel"/>
    <w:tmpl w:val="CCE4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977A12"/>
    <w:multiLevelType w:val="multilevel"/>
    <w:tmpl w:val="B918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C14ECD"/>
    <w:multiLevelType w:val="multilevel"/>
    <w:tmpl w:val="B7AC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4B502A"/>
    <w:multiLevelType w:val="multilevel"/>
    <w:tmpl w:val="32AC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20"/>
  </w:num>
  <w:num w:numId="9">
    <w:abstractNumId w:val="13"/>
  </w:num>
  <w:num w:numId="10">
    <w:abstractNumId w:val="14"/>
  </w:num>
  <w:num w:numId="11">
    <w:abstractNumId w:val="5"/>
  </w:num>
  <w:num w:numId="12">
    <w:abstractNumId w:val="0"/>
  </w:num>
  <w:num w:numId="13">
    <w:abstractNumId w:val="8"/>
  </w:num>
  <w:num w:numId="14">
    <w:abstractNumId w:val="22"/>
  </w:num>
  <w:num w:numId="15">
    <w:abstractNumId w:val="7"/>
  </w:num>
  <w:num w:numId="16">
    <w:abstractNumId w:val="19"/>
  </w:num>
  <w:num w:numId="17">
    <w:abstractNumId w:val="21"/>
  </w:num>
  <w:num w:numId="18">
    <w:abstractNumId w:val="18"/>
  </w:num>
  <w:num w:numId="19">
    <w:abstractNumId w:val="3"/>
  </w:num>
  <w:num w:numId="20">
    <w:abstractNumId w:val="6"/>
  </w:num>
  <w:num w:numId="21">
    <w:abstractNumId w:val="16"/>
  </w:num>
  <w:num w:numId="22">
    <w:abstractNumId w:val="23"/>
  </w:num>
  <w:num w:numId="23">
    <w:abstractNumId w:val="15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A6"/>
    <w:rsid w:val="00030AA2"/>
    <w:rsid w:val="0004303C"/>
    <w:rsid w:val="0007777D"/>
    <w:rsid w:val="000A349C"/>
    <w:rsid w:val="000A4D26"/>
    <w:rsid w:val="000C04B3"/>
    <w:rsid w:val="000C20BE"/>
    <w:rsid w:val="001808DA"/>
    <w:rsid w:val="00271105"/>
    <w:rsid w:val="0027667F"/>
    <w:rsid w:val="00334D30"/>
    <w:rsid w:val="00350BE9"/>
    <w:rsid w:val="00352F53"/>
    <w:rsid w:val="003A6905"/>
    <w:rsid w:val="004439B5"/>
    <w:rsid w:val="005A32E8"/>
    <w:rsid w:val="005D3575"/>
    <w:rsid w:val="005F7E8B"/>
    <w:rsid w:val="00730E91"/>
    <w:rsid w:val="008205FA"/>
    <w:rsid w:val="00826709"/>
    <w:rsid w:val="00847F5F"/>
    <w:rsid w:val="0092534D"/>
    <w:rsid w:val="00AA5BAC"/>
    <w:rsid w:val="00B00503"/>
    <w:rsid w:val="00B401BD"/>
    <w:rsid w:val="00C36011"/>
    <w:rsid w:val="00CF6E3C"/>
    <w:rsid w:val="00D109DC"/>
    <w:rsid w:val="00DA4B92"/>
    <w:rsid w:val="00E018D8"/>
    <w:rsid w:val="00E161C6"/>
    <w:rsid w:val="00EB61A6"/>
    <w:rsid w:val="00EE685E"/>
    <w:rsid w:val="00F20F5F"/>
    <w:rsid w:val="00F5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C8956-9AA3-4205-8394-D2D54C9F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"/>
    <w:basedOn w:val="a"/>
    <w:rsid w:val="005D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0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62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5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4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97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4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77711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9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65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30269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65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1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6336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2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62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8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66304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0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43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3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67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03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2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3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962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2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52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2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5856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641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90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9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7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14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15225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3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52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5791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4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057583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3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432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8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20174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58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01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4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13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0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25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5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7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252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8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97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57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845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50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6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62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1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4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8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0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24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7464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6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77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1180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24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24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80469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8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811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1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58696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4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08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2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1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4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2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24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6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90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32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9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1419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2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86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304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0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22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8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3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0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41402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07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70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159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7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258168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29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554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50570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5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25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6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2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35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94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03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47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21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9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1091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8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55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77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26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0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8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6279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49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224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3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02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326661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1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66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7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4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25948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33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7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924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0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1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574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213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2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08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09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286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E5BD-FC77-45F4-9F7A-7C2FAB8A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Любовь Арсентьевна</dc:creator>
  <cp:keywords/>
  <dc:description/>
  <cp:lastModifiedBy>Дмитриева Любовь Арсентьевна</cp:lastModifiedBy>
  <cp:revision>2</cp:revision>
  <dcterms:created xsi:type="dcterms:W3CDTF">2020-03-20T04:05:00Z</dcterms:created>
  <dcterms:modified xsi:type="dcterms:W3CDTF">2020-03-20T04:05:00Z</dcterms:modified>
</cp:coreProperties>
</file>