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7F" w:rsidRDefault="00EB61A6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  <w:r w:rsidRPr="00EB61A6">
        <w:rPr>
          <w:rFonts w:ascii="Arial" w:eastAsia="Times New Roman" w:hAnsi="Arial" w:cs="Arial"/>
          <w:color w:val="474747"/>
          <w:sz w:val="28"/>
          <w:szCs w:val="28"/>
          <w:lang w:eastAsia="ru-RU"/>
        </w:rPr>
        <w:t>ОБЗОР</w:t>
      </w:r>
      <w:r>
        <w:rPr>
          <w:rFonts w:ascii="Arial" w:eastAsia="Times New Roman" w:hAnsi="Arial" w:cs="Arial"/>
          <w:color w:val="474747"/>
          <w:sz w:val="28"/>
          <w:szCs w:val="28"/>
          <w:lang w:eastAsia="ru-RU"/>
        </w:rPr>
        <w:t xml:space="preserve"> </w:t>
      </w:r>
      <w:r w:rsidR="0027667F">
        <w:rPr>
          <w:rFonts w:ascii="Arial" w:eastAsia="Times New Roman" w:hAnsi="Arial" w:cs="Arial"/>
          <w:color w:val="474747"/>
          <w:sz w:val="28"/>
          <w:szCs w:val="28"/>
          <w:lang w:eastAsia="ru-RU"/>
        </w:rPr>
        <w:t xml:space="preserve">СОДЕРЖАНИЯ </w:t>
      </w:r>
      <w:r>
        <w:rPr>
          <w:rFonts w:ascii="Arial" w:eastAsia="Times New Roman" w:hAnsi="Arial" w:cs="Arial"/>
          <w:color w:val="474747"/>
          <w:sz w:val="28"/>
          <w:szCs w:val="28"/>
          <w:lang w:eastAsia="ru-RU"/>
        </w:rPr>
        <w:t>ЖУРНА</w:t>
      </w:r>
      <w:r w:rsidR="0027667F">
        <w:rPr>
          <w:rFonts w:ascii="Arial" w:eastAsia="Times New Roman" w:hAnsi="Arial" w:cs="Arial"/>
          <w:color w:val="474747"/>
          <w:sz w:val="28"/>
          <w:szCs w:val="28"/>
          <w:lang w:eastAsia="ru-RU"/>
        </w:rPr>
        <w:t>ЛА</w:t>
      </w:r>
    </w:p>
    <w:p w:rsidR="0027667F" w:rsidRDefault="00EB61A6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74747"/>
          <w:sz w:val="28"/>
          <w:szCs w:val="28"/>
          <w:lang w:eastAsia="ru-RU"/>
        </w:rPr>
        <w:t xml:space="preserve"> </w:t>
      </w:r>
      <w:r w:rsidR="0027667F">
        <w:rPr>
          <w:rFonts w:ascii="Arial" w:eastAsia="Times New Roman" w:hAnsi="Arial" w:cs="Arial"/>
          <w:color w:val="474747"/>
          <w:sz w:val="28"/>
          <w:szCs w:val="28"/>
          <w:lang w:eastAsia="ru-RU"/>
        </w:rPr>
        <w:t>«ИНТЕЛЛЕКТУАЛЬНАЯ СОБСТВЕННОСТЬ: ПРОМЫШЛЕННАЯ СОБСТВЕННОСТЬ»</w:t>
      </w:r>
    </w:p>
    <w:p w:rsidR="00EB61A6" w:rsidRDefault="0027667F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74747"/>
          <w:sz w:val="28"/>
          <w:szCs w:val="28"/>
          <w:lang w:eastAsia="ru-RU"/>
        </w:rPr>
        <w:t xml:space="preserve">№№ </w:t>
      </w:r>
      <w:r w:rsidR="00DA7923">
        <w:rPr>
          <w:rFonts w:ascii="Arial" w:eastAsia="Times New Roman" w:hAnsi="Arial" w:cs="Arial"/>
          <w:color w:val="474747"/>
          <w:sz w:val="28"/>
          <w:szCs w:val="28"/>
          <w:lang w:eastAsia="ru-RU"/>
        </w:rPr>
        <w:t>8-10</w:t>
      </w:r>
      <w:r>
        <w:rPr>
          <w:rFonts w:ascii="Arial" w:eastAsia="Times New Roman" w:hAnsi="Arial" w:cs="Arial"/>
          <w:color w:val="474747"/>
          <w:sz w:val="28"/>
          <w:szCs w:val="28"/>
          <w:lang w:eastAsia="ru-RU"/>
        </w:rPr>
        <w:t xml:space="preserve"> / 2019 ГОД</w:t>
      </w:r>
    </w:p>
    <w:p w:rsidR="0027667F" w:rsidRPr="00EB61A6" w:rsidRDefault="0027667F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</w:p>
    <w:p w:rsidR="00EB61A6" w:rsidRDefault="00EB61A6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C00E6C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№ </w:t>
      </w:r>
      <w:r w:rsidR="00DA7923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8</w:t>
      </w:r>
      <w:r w:rsidRPr="00C00E6C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, 2019</w:t>
      </w:r>
    </w:p>
    <w:p w:rsidR="007352AF" w:rsidRDefault="007352AF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</w:p>
    <w:p w:rsidR="00DA7923" w:rsidRDefault="00DA7923" w:rsidP="00DA7923">
      <w:pPr>
        <w:pStyle w:val="a3"/>
        <w:shd w:val="clear" w:color="auto" w:fill="FFFFFF"/>
        <w:rPr>
          <w:rFonts w:ascii="Arial" w:eastAsia="Times New Roman" w:hAnsi="Arial" w:cs="Arial"/>
          <w:b/>
          <w:bCs/>
          <w:color w:val="8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519604" cy="2324100"/>
            <wp:effectExtent l="0" t="0" r="4445" b="0"/>
            <wp:wrapSquare wrapText="bothSides"/>
            <wp:docPr id="4" name="Рисунок 4" descr="N8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8_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604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923" w:rsidRPr="007352AF" w:rsidRDefault="00DA7923" w:rsidP="00DA7923">
      <w:pPr>
        <w:pStyle w:val="a3"/>
        <w:shd w:val="clear" w:color="auto" w:fill="FFFFFF"/>
        <w:rPr>
          <w:rFonts w:ascii="Arial" w:eastAsia="Times New Roman" w:hAnsi="Arial" w:cs="Arial"/>
          <w:color w:val="800000"/>
          <w:lang w:eastAsia="ru-RU"/>
        </w:rPr>
      </w:pPr>
      <w:r w:rsidRPr="007352AF">
        <w:rPr>
          <w:rFonts w:ascii="Arial" w:eastAsia="Times New Roman" w:hAnsi="Arial" w:cs="Arial"/>
          <w:b/>
          <w:bCs/>
          <w:color w:val="800000"/>
          <w:lang w:eastAsia="ru-RU"/>
        </w:rPr>
        <w:t>Охрана интеллектуальной собственности</w:t>
      </w:r>
    </w:p>
    <w:p w:rsidR="00326FAE" w:rsidRDefault="00DA7923" w:rsidP="00DA7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Городов</w:t>
      </w:r>
      <w:r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A7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О.А.</w:t>
      </w:r>
      <w:r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A7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географических указаниях и наименованиях мест происхождения товаров</w:t>
      </w:r>
      <w:r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Pr="00DA7923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2</w:t>
      </w:r>
      <w:r w:rsidRPr="007352AF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.</w:t>
      </w:r>
      <w:r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26FAE" w:rsidRDefault="00326FAE" w:rsidP="00DA7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7923" w:rsidRPr="00012203" w:rsidRDefault="00DA7923" w:rsidP="00326FA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A79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статье рассматриваются проблемы, связанные с введением в оборот нового средства индивидуализации товара, именуемого географическим указанием, которое будет применяться наряду с существующим наименованием места происхождения товара. Автор критически оценивает роль географического указания и перспективу его правовой охраны.</w:t>
      </w:r>
      <w:r w:rsidRPr="00DA79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DA792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</w:t>
      </w:r>
    </w:p>
    <w:p w:rsidR="00DA7923" w:rsidRPr="00DA7923" w:rsidRDefault="00DA7923" w:rsidP="00DA79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  *  *</w:t>
      </w:r>
    </w:p>
    <w:p w:rsidR="00DA7923" w:rsidRPr="007352AF" w:rsidRDefault="00DA7923" w:rsidP="00DA7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r w:rsidRPr="00DA7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Еременко</w:t>
      </w:r>
      <w:r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A7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В.И.</w:t>
      </w:r>
      <w:r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A7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 пленума Верховного суда Российской Федерации № 10 о применении четвертой части ГК РФ: процессуальные вопросы</w:t>
      </w:r>
      <w:r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Pr="00DA7923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9</w:t>
      </w:r>
      <w:r w:rsidRPr="007352AF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.</w:t>
      </w:r>
    </w:p>
    <w:p w:rsidR="00DA7923" w:rsidRPr="007352AF" w:rsidRDefault="00DA7923" w:rsidP="00DA7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A7923" w:rsidRPr="00DA7923" w:rsidRDefault="00DA7923" w:rsidP="00326FA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A79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Статья посвящена анализу первого раздела постановления пленума Верховного суда Российской Федерации о применении четвертой части ГК РФ, действию ее положений во времени.</w:t>
      </w:r>
      <w:r w:rsidRPr="00DA79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DA792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</w:t>
      </w:r>
    </w:p>
    <w:p w:rsidR="00DA7923" w:rsidRPr="00DA7923" w:rsidRDefault="00DA7923" w:rsidP="00DA79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  *  *</w:t>
      </w:r>
    </w:p>
    <w:p w:rsidR="00DA7923" w:rsidRPr="007352AF" w:rsidRDefault="00DA7923" w:rsidP="00DA79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proofErr w:type="spellStart"/>
      <w:r w:rsidRPr="00DA7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Галковск</w:t>
      </w:r>
      <w:r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ая</w:t>
      </w:r>
      <w:proofErr w:type="spellEnd"/>
      <w:r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A7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В.Г.</w:t>
      </w:r>
      <w:r w:rsidR="00326F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r w:rsidR="00326FAE" w:rsidRPr="00326F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Лысков</w:t>
      </w:r>
      <w:r w:rsidRPr="00326F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26FAE" w:rsidRPr="00326F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Н.Б.</w:t>
      </w:r>
      <w:r w:rsidR="00326FAE" w:rsidRPr="00326F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="00326FAE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326FAE" w:rsidRPr="00326F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Полякова </w:t>
      </w:r>
      <w:r w:rsidR="00326FAE" w:rsidRPr="00326F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А.А.</w:t>
      </w:r>
      <w:r w:rsidR="00326FAE" w:rsidRPr="00326F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Криворучко </w:t>
      </w:r>
      <w:r w:rsidR="00326FAE" w:rsidRPr="00326F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Т.Е.</w:t>
      </w:r>
      <w:r w:rsidR="00326FAE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A7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Заявки на изобретения, относящиеся к производным известных веществ: новый взгляд</w:t>
      </w:r>
      <w:r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Pr="00DA7923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24</w:t>
      </w:r>
      <w:r w:rsidRPr="007352AF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.</w:t>
      </w:r>
    </w:p>
    <w:p w:rsidR="00326FAE" w:rsidRDefault="00326FAE" w:rsidP="00DA792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326FAE" w:rsidRDefault="00DA7923" w:rsidP="00DA792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A79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статье представлены различные подходы к возможности ограничения патентных прав на изобретения, относящиеся к модификациям известных веществ. Необходимость данных ограничений связана со стратегией обновления, используемой крупными игроками фармацевтического рынка.</w:t>
      </w:r>
    </w:p>
    <w:p w:rsidR="00DA7923" w:rsidRPr="00DA7923" w:rsidRDefault="00DA7923" w:rsidP="00DA79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bookmarkStart w:id="0" w:name="av_pr"/>
      <w:bookmarkEnd w:id="0"/>
      <w:r w:rsidRPr="00DA7923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Авторское право</w:t>
      </w:r>
    </w:p>
    <w:p w:rsidR="00DA7923" w:rsidRPr="007352AF" w:rsidRDefault="00DA7923" w:rsidP="00DA79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r w:rsidRPr="00DA7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Зыков</w:t>
      </w:r>
      <w:r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A7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С.В.</w:t>
      </w:r>
      <w:r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A7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России запущен правовой механизм использования объектов авторского и смежных прав на основании заявления правообладателя</w:t>
      </w:r>
      <w:r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Pr="00DA7923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38</w:t>
      </w:r>
      <w:r w:rsidRPr="007352AF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.</w:t>
      </w:r>
    </w:p>
    <w:p w:rsidR="00DA7923" w:rsidRPr="00DA7923" w:rsidRDefault="00DA7923" w:rsidP="00DA79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9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 статье разбираются положения недавно принятых Правил размещения заявлений правообладателей о предоставлении любым лицам возможности безвозмездно использовать произведения науки, литературы, искусства либо объекты смежных прав на определенных правообладателем условиях и в течение указанного им срока, указываются их недостатки, а также </w:t>
      </w:r>
      <w:r w:rsidRPr="00DA79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>возможности использования правового механизма, в них предусмотренного, в контексте других форм предоставления права использования в цифровой среде.</w:t>
      </w:r>
      <w:r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Pr="00735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A792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</w:t>
      </w:r>
    </w:p>
    <w:p w:rsidR="00DA7923" w:rsidRPr="00DA7923" w:rsidRDefault="00DA7923" w:rsidP="00DA79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  *  *</w:t>
      </w:r>
    </w:p>
    <w:p w:rsidR="007352AF" w:rsidRPr="007352AF" w:rsidRDefault="007352AF" w:rsidP="00DA79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Козлов</w:t>
      </w:r>
      <w:r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 </w:t>
      </w:r>
      <w:r w:rsidRPr="00DA7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Н.В.</w:t>
      </w:r>
      <w:r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A7923" w:rsidRPr="00DA7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Оригинальность и </w:t>
      </w:r>
      <w:proofErr w:type="spellStart"/>
      <w:r w:rsidR="00DA7923" w:rsidRPr="00DA7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самоцитирование</w:t>
      </w:r>
      <w:proofErr w:type="spellEnd"/>
      <w:r w:rsidR="00DA7923" w:rsidRPr="00DA7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произведениях, содержащих результаты исследований по юридическим наукам</w:t>
      </w:r>
      <w:r w:rsidR="00DA7923"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="00DA7923" w:rsidRPr="00DA7923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43</w:t>
      </w:r>
      <w:r w:rsidR="00DA7923"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</w:t>
      </w:r>
    </w:p>
    <w:p w:rsidR="00DA7923" w:rsidRPr="007352AF" w:rsidRDefault="00DA7923" w:rsidP="00326F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A79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статье рассматриваются юридические и этические аспекты использования авторами в своих новых научных произведениях фрагментов из своих ранее опубликованных работ. Делается вывод о необходимости разграничивать случаи нарушений закона и субъективных авторских прав и норм академической этики.</w:t>
      </w:r>
      <w:r w:rsidRPr="00DA792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DA792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</w:t>
      </w:r>
      <w:bookmarkStart w:id="1" w:name="upr_in_s"/>
      <w:bookmarkEnd w:id="1"/>
    </w:p>
    <w:p w:rsidR="00DA7923" w:rsidRPr="00DA7923" w:rsidRDefault="00DA7923" w:rsidP="00DA79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r w:rsidRPr="00DA7923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Управление интеллектуальной собственностью</w:t>
      </w:r>
    </w:p>
    <w:p w:rsidR="007352AF" w:rsidRDefault="007352AF" w:rsidP="0073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A7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Ворожевич</w:t>
      </w:r>
      <w:proofErr w:type="spellEnd"/>
      <w:r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A7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А.С.</w:t>
      </w:r>
      <w:r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A7923" w:rsidRPr="00DA7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Пределы защиты исключительного права патентообладателя</w:t>
      </w:r>
      <w:r w:rsidR="00DA7923"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="00DA7923" w:rsidRPr="00DA7923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58</w:t>
      </w:r>
      <w:r w:rsidR="00DA7923"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</w:t>
      </w:r>
    </w:p>
    <w:p w:rsidR="00DA7923" w:rsidRPr="00012203" w:rsidRDefault="00DA7923" w:rsidP="00326F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Автор статьи обосновывает тезис о том, что применимые меры защиты патентных прав должны дифференцироваться в зависимости от сферы, в которой совершено нарушение, сущности разработки и возникшего в отношении нее конфликта интересов, а также поведения правообладателя. Запрет на дальнейшее использование </w:t>
      </w:r>
      <w:proofErr w:type="spellStart"/>
      <w:r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патентоохраняемого</w:t>
      </w:r>
      <w:proofErr w:type="spellEnd"/>
      <w:r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объекта не должен рассматриваться в качестве универсального и обязательного способа защиты нарушенного исключительного права применительно к рынкам IT-технологий, телекоммуникаций и иных комплексных инноваций.</w:t>
      </w:r>
      <w:r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A7923" w:rsidRPr="00DA7923" w:rsidRDefault="00DA7923" w:rsidP="00DA79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  *  *</w:t>
      </w:r>
    </w:p>
    <w:p w:rsidR="00DA7923" w:rsidRPr="00DA7923" w:rsidRDefault="00DA7923" w:rsidP="00DA79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bookmarkStart w:id="2" w:name="pril"/>
      <w:bookmarkEnd w:id="2"/>
      <w:r w:rsidRPr="00DA7923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Приложение</w:t>
      </w:r>
    </w:p>
    <w:p w:rsidR="00DA7923" w:rsidRPr="00DA7923" w:rsidRDefault="00DA7923" w:rsidP="00DA79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РФ от 18 марта 2019 г. № 34ФЗ «О внесении изменений в части первую, вторую и статью 1124 части третьей ГК РФ» – </w:t>
      </w:r>
      <w:r w:rsidRPr="00DA7923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73</w:t>
      </w:r>
      <w:r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Федеральный закон РФ от 18 июля 2019 г. № 177ФЗ «О внесении изменений в статью 11 части первой и статью 1252 части четвертой ГК РФ» – </w:t>
      </w:r>
      <w:r w:rsidRPr="00DA7923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76</w:t>
      </w:r>
      <w:r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Федеральный закон РФ от 18 июля 2019 г. № 187ФЗ «О внесении изменения в статью 13 федерального закона «О защите конкуренции» – </w:t>
      </w:r>
      <w:r w:rsidRPr="00DA7923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77</w:t>
      </w:r>
      <w:r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A7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Постановление Правительства РФ от 8 июня 2019 г. № 745 «Об утверждении Правил размещения заявлений правообладателей о предоставлении любым лицам возможности безвозмездно использовать произведения науки, литературы, искусства либо объекты смежных прав на определенных правообладателем условиях и в течение указанного им срока» – </w:t>
      </w:r>
      <w:r w:rsidRPr="00DA7923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77</w:t>
      </w:r>
    </w:p>
    <w:p w:rsidR="005A784F" w:rsidRDefault="005A784F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C00E6C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lastRenderedPageBreak/>
        <w:t xml:space="preserve">№ </w:t>
      </w:r>
      <w:r w:rsidR="007352AF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9</w:t>
      </w:r>
      <w:r w:rsidRPr="00C00E6C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, 2019</w:t>
      </w:r>
    </w:p>
    <w:p w:rsidR="007352AF" w:rsidRPr="00C00E6C" w:rsidRDefault="007352AF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</w:p>
    <w:p w:rsidR="005A784F" w:rsidRPr="00C00E6C" w:rsidRDefault="007352AF" w:rsidP="00C00E6C">
      <w:pPr>
        <w:shd w:val="clear" w:color="auto" w:fill="FFFFFF"/>
        <w:spacing w:after="0" w:line="276" w:lineRule="auto"/>
        <w:outlineLvl w:val="1"/>
        <w:rPr>
          <w:rFonts w:ascii="Droid Sans" w:eastAsia="Times New Roman" w:hAnsi="Droid Sans" w:cs="Arial"/>
          <w:color w:val="2B2B2B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457325" cy="2228850"/>
            <wp:effectExtent l="0" t="0" r="9525" b="0"/>
            <wp:wrapTight wrapText="bothSides">
              <wp:wrapPolygon edited="0">
                <wp:start x="0" y="0"/>
                <wp:lineTo x="0" y="21415"/>
                <wp:lineTo x="21459" y="21415"/>
                <wp:lineTo x="21459" y="0"/>
                <wp:lineTo x="0" y="0"/>
              </wp:wrapPolygon>
            </wp:wrapTight>
            <wp:docPr id="6" name="Рисунок 6" descr="N9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9_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2AF" w:rsidRPr="007352AF" w:rsidRDefault="007352AF" w:rsidP="0073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r w:rsidRPr="007352AF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Управление интеллектуальной собственностью</w:t>
      </w:r>
    </w:p>
    <w:p w:rsidR="009B6226" w:rsidRPr="009B6226" w:rsidRDefault="009B6226" w:rsidP="009B62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proofErr w:type="spellStart"/>
      <w:r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Рузаков</w:t>
      </w:r>
      <w:r w:rsidRPr="009B6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proofErr w:type="spellEnd"/>
      <w:r w:rsidRPr="009B6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О.А.</w:t>
      </w:r>
      <w:r w:rsidRPr="009B6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7352AF"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Договоры в сфере интеллектуальной собственности и цифровые технологии</w:t>
      </w:r>
      <w:r w:rsidR="007352AF" w:rsidRPr="00735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="007352AF" w:rsidRPr="007352AF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2</w:t>
      </w:r>
      <w:r w:rsidRPr="009B6226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.</w:t>
      </w:r>
    </w:p>
    <w:p w:rsidR="007352AF" w:rsidRPr="00012203" w:rsidRDefault="009B6226" w:rsidP="00326F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9B622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</w:t>
      </w:r>
      <w:r w:rsidR="007352AF" w:rsidRPr="007352A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статье рассматриваются в свете развития цифровых технологий на основе новелл федерального закона от 18 марта 2019 г. № 34-ФЗ «О внесении изменений в части первую, вторую и статью 1124 части третьей Гражданского кодекса Российской Федерации», вступающего в силу с 1 октября 2019 г., перспективы и возможные проблемы коммерциализации, связанные прежде всего с заключением договоров в сфере интеллектуальной собственности. В частности, использование баз типовых договоров, механизма </w:t>
      </w:r>
      <w:proofErr w:type="spellStart"/>
      <w:r w:rsidR="007352AF" w:rsidRPr="007352A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блокчейн</w:t>
      </w:r>
      <w:proofErr w:type="spellEnd"/>
      <w:r w:rsidR="007352AF" w:rsidRPr="007352A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 смарт-контрактов, электронной подписи и др.     </w:t>
      </w:r>
    </w:p>
    <w:p w:rsidR="007352AF" w:rsidRPr="007352AF" w:rsidRDefault="007352AF" w:rsidP="007352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  *  *</w:t>
      </w:r>
    </w:p>
    <w:p w:rsidR="009B6226" w:rsidRPr="009B6226" w:rsidRDefault="009B6226" w:rsidP="0073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r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Гаврилов</w:t>
      </w:r>
      <w:r w:rsidRPr="009B6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Э.П.</w:t>
      </w:r>
      <w:r w:rsidRPr="009B6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7352AF"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Когда исключительное право на тождественные объекты принадлежит одновременно нескольким лицам</w:t>
      </w:r>
      <w:r w:rsidR="007352AF" w:rsidRPr="00735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="007352AF" w:rsidRPr="007352AF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8</w:t>
      </w:r>
      <w:r w:rsidRPr="009B6226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.</w:t>
      </w:r>
    </w:p>
    <w:p w:rsidR="009B6226" w:rsidRPr="009B6226" w:rsidRDefault="007352AF" w:rsidP="0073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7352A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Автор статьи анализирует использование исключительного права, распоряжение им и защиту исключительного права, которое принадлежит совместно нескольким лицам.</w:t>
      </w:r>
      <w:r w:rsidRPr="007352A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7352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</w:t>
      </w:r>
      <w:bookmarkStart w:id="3" w:name="probl_konk"/>
      <w:bookmarkEnd w:id="3"/>
    </w:p>
    <w:p w:rsidR="007352AF" w:rsidRPr="007352AF" w:rsidRDefault="007352AF" w:rsidP="0073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r w:rsidRPr="007352AF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Проблемы конкурентоспособности</w:t>
      </w:r>
    </w:p>
    <w:p w:rsidR="009B6226" w:rsidRPr="009B6226" w:rsidRDefault="009B6226" w:rsidP="0073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Серегин</w:t>
      </w:r>
      <w:r w:rsidRPr="009B6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Д.И.</w:t>
      </w:r>
      <w:r w:rsidRPr="009B6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7352AF"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Особенности применения антимонопольного законодательства для защиты индивидуальности товара</w:t>
      </w:r>
      <w:r w:rsidR="007352AF" w:rsidRPr="00735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="007352AF" w:rsidRPr="007352AF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18</w:t>
      </w:r>
      <w:r w:rsidRPr="009B6226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.</w:t>
      </w:r>
      <w:r w:rsidR="007352AF" w:rsidRPr="00735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</w:t>
      </w:r>
    </w:p>
    <w:p w:rsidR="009B6226" w:rsidRPr="009B6226" w:rsidRDefault="007352AF" w:rsidP="00326F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7352A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статье проводится анализ законодательства Российской Федерации с целью определения правовых возможностей защиты индивидуальности товара. Традиционно как средства индивидуализации рассматриваются фирменное наименование, товарный знак и коммерческое обозначение. Вместе с тем задача по защите индивидуальности товара может быть обеспечена и иными средствами, в том числе на основании антимонопольного законодательства.</w:t>
      </w:r>
      <w:r w:rsidRPr="007352A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7352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</w:t>
      </w:r>
      <w:bookmarkStart w:id="4" w:name="ohr"/>
      <w:bookmarkEnd w:id="4"/>
    </w:p>
    <w:p w:rsidR="007352AF" w:rsidRPr="007352AF" w:rsidRDefault="007352AF" w:rsidP="009B62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r w:rsidRPr="007352AF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Охрана интеллектуальной собственности</w:t>
      </w:r>
    </w:p>
    <w:p w:rsidR="009B6226" w:rsidRPr="009B6226" w:rsidRDefault="009B6226" w:rsidP="0073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Мальцев</w:t>
      </w:r>
      <w:r w:rsidRPr="009B6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Н.М.</w:t>
      </w:r>
      <w:r w:rsidRPr="009B6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r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Синельникова</w:t>
      </w:r>
      <w:r w:rsidRPr="009B6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В.Н.</w:t>
      </w:r>
      <w:r w:rsidRPr="00735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7352AF"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Правовой режим интернет-сайтов как объектов интеллектуальных прав</w:t>
      </w:r>
      <w:r w:rsidR="007352AF" w:rsidRPr="00735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="007352AF" w:rsidRPr="007352AF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33</w:t>
      </w:r>
      <w:r w:rsidRPr="009B6226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.</w:t>
      </w:r>
      <w:r w:rsidR="007352AF" w:rsidRPr="00735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</w:t>
      </w:r>
    </w:p>
    <w:p w:rsidR="007352AF" w:rsidRPr="00012203" w:rsidRDefault="007352AF" w:rsidP="00326F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7352A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Авторы статьи анализируют правовую природу интернет-сайта с позиции определения его режима как объекта интеллектуальной собственности, </w:t>
      </w:r>
      <w:r w:rsidRPr="007352A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>уделяя при этом</w:t>
      </w:r>
      <w:r w:rsidRPr="007352AF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Pr="007352A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внимание не только имеющимся в доктрине позициям, но и судебной практике. По итогам проведенного исследования авторы выделяют два вида интернет-сайтов, по каждому из которых аргументируют свою точку зрения на их правовой режим.</w:t>
      </w:r>
      <w:r w:rsidRPr="007352A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7352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</w:t>
      </w:r>
    </w:p>
    <w:p w:rsidR="007352AF" w:rsidRPr="007352AF" w:rsidRDefault="007352AF" w:rsidP="007352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  *  *</w:t>
      </w:r>
    </w:p>
    <w:p w:rsidR="007C461B" w:rsidRPr="007C461B" w:rsidRDefault="007C461B" w:rsidP="007C46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Тыцкая</w:t>
      </w:r>
      <w:proofErr w:type="spellEnd"/>
      <w:r w:rsidRPr="007C46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Г.И.</w:t>
      </w:r>
      <w:r w:rsidRPr="007C46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7352AF" w:rsidRPr="00735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Правовые подходы к применению средств индивидуализации по месту происхождения товара</w:t>
      </w:r>
      <w:r w:rsidR="007352AF" w:rsidRPr="00735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="007352AF" w:rsidRPr="007352AF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46</w:t>
      </w:r>
      <w:r w:rsidR="007352AF" w:rsidRPr="00735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</w:t>
      </w:r>
    </w:p>
    <w:p w:rsidR="007352AF" w:rsidRPr="007352AF" w:rsidRDefault="007C461B" w:rsidP="00326F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7C461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статье р</w:t>
      </w:r>
      <w:r w:rsidRPr="007352A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ассказывает</w:t>
      </w:r>
      <w:r w:rsidRPr="007C461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ся о</w:t>
      </w:r>
      <w:r w:rsidR="007352AF" w:rsidRPr="007352A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круглом столе, который состоялся в РГАИС и был посвящен обсуждению введения охраны географического указания как одного из средств индивидуализации товара по месту его происхождения, наряду с уже существующим наименованием места происхождения товара</w:t>
      </w:r>
      <w:r w:rsidRPr="007C461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  <w:r w:rsidR="007352AF" w:rsidRPr="007352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</w:t>
      </w:r>
    </w:p>
    <w:p w:rsidR="007352AF" w:rsidRDefault="007352AF" w:rsidP="007352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  *  *</w:t>
      </w:r>
    </w:p>
    <w:p w:rsidR="00326FAE" w:rsidRPr="007352AF" w:rsidRDefault="00326FAE" w:rsidP="007352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461B" w:rsidRPr="00326FAE" w:rsidRDefault="007C461B" w:rsidP="007C4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F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Горшков-Кантакузен В.А. </w:t>
      </w:r>
      <w:r w:rsidR="007352AF" w:rsidRPr="00326F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Особенности правовой охраны объектов, относящихся к клеткам животных</w:t>
      </w:r>
      <w:r w:rsidR="007352AF" w:rsidRPr="0032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="007352AF" w:rsidRPr="00326FAE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52</w:t>
      </w:r>
      <w:r w:rsidRPr="00326FAE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.</w:t>
      </w:r>
      <w:r w:rsidR="007352AF" w:rsidRPr="0032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</w:t>
      </w:r>
    </w:p>
    <w:p w:rsidR="007C461B" w:rsidRPr="007C461B" w:rsidRDefault="007352AF" w:rsidP="007C461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7352A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 статье рассмотрены вопросы, связанные с депонированием клеток животных, и типичные ситуации, которые возникают на стадии </w:t>
      </w:r>
      <w:proofErr w:type="gramStart"/>
      <w:r w:rsidRPr="007352A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экспертизы</w:t>
      </w:r>
      <w:proofErr w:type="gramEnd"/>
      <w:r w:rsidRPr="007352A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по существу.</w:t>
      </w:r>
      <w:r w:rsidRPr="007352A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7352A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</w:t>
      </w:r>
    </w:p>
    <w:p w:rsidR="007C461B" w:rsidRDefault="007352AF" w:rsidP="0073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7352AF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Приложение</w:t>
      </w:r>
    </w:p>
    <w:p w:rsidR="007352AF" w:rsidRPr="007352AF" w:rsidRDefault="007352AF" w:rsidP="00326F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7352A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Федеральный закон Российской Федерации от 26 июля 2019 г. № 230-ФЗ «О внесении изменений в часть четвертую Гражданского кодекса Российской Федерации и статьи 1 и 231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– </w:t>
      </w:r>
      <w:r w:rsidRPr="007352AF">
        <w:rPr>
          <w:rFonts w:ascii="Arial" w:eastAsia="Times New Roman" w:hAnsi="Arial" w:cs="Arial"/>
          <w:i/>
          <w:color w:val="800000"/>
          <w:sz w:val="24"/>
          <w:szCs w:val="24"/>
          <w:lang w:eastAsia="ru-RU"/>
        </w:rPr>
        <w:t>с. 61</w:t>
      </w:r>
    </w:p>
    <w:p w:rsidR="007352AF" w:rsidRPr="007352AF" w:rsidRDefault="007352AF" w:rsidP="00735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784F" w:rsidRDefault="00607CC9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7C461B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№ </w:t>
      </w:r>
      <w:r w:rsidR="007C461B" w:rsidRPr="007C461B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10,</w:t>
      </w:r>
      <w:r w:rsidRPr="007C461B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2019</w:t>
      </w:r>
    </w:p>
    <w:p w:rsidR="007C461B" w:rsidRPr="006C700F" w:rsidRDefault="007C461B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</w:p>
    <w:p w:rsidR="00012203" w:rsidRPr="00012203" w:rsidRDefault="007C461B" w:rsidP="00012203">
      <w:pPr>
        <w:pStyle w:val="a3"/>
        <w:shd w:val="clear" w:color="auto" w:fill="FFFFFF"/>
        <w:rPr>
          <w:rFonts w:ascii="Arial" w:eastAsia="Times New Roman" w:hAnsi="Arial" w:cs="Arial"/>
          <w:color w:val="8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257300" cy="1838325"/>
            <wp:effectExtent l="0" t="0" r="0" b="9525"/>
            <wp:wrapSquare wrapText="bothSides"/>
            <wp:docPr id="7" name="Рисунок 7" descr="N10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10_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203" w:rsidRPr="00012203">
        <w:rPr>
          <w:rFonts w:ascii="Arial" w:eastAsia="Times New Roman" w:hAnsi="Arial" w:cs="Arial"/>
          <w:b/>
          <w:bCs/>
          <w:color w:val="800000"/>
          <w:lang w:eastAsia="ru-RU"/>
        </w:rPr>
        <w:t xml:space="preserve"> Охрана интеллектуальной собственности</w:t>
      </w:r>
    </w:p>
    <w:p w:rsidR="00803A9C" w:rsidRDefault="00012203" w:rsidP="000122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Еременко</w:t>
      </w:r>
      <w:r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В.И.</w:t>
      </w:r>
      <w:r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69 ГК РФ в интерпретации постановления пленума Верховного суда Российской Федерации от 23 апреля 2019 г. № 10</w:t>
      </w:r>
      <w:r w:rsidRPr="00012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Pr="00012203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2</w:t>
      </w:r>
      <w:r w:rsidRPr="00803A9C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.</w:t>
      </w:r>
      <w:r w:rsidRPr="00012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</w:t>
      </w:r>
    </w:p>
    <w:p w:rsidR="00012203" w:rsidRPr="00012203" w:rsidRDefault="00012203" w:rsidP="000122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1220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Статья</w:t>
      </w:r>
      <w:r w:rsidRPr="00012203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> </w:t>
      </w:r>
      <w:r w:rsidRPr="0001220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посвящена анализу пунктов постановления пленума Верховного суда Российской Федерации, относящихся к общим положениям четвертой части Гражданского кодекса Российской Федерации.</w:t>
      </w:r>
      <w:r w:rsidRPr="0001220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</w:p>
    <w:p w:rsidR="00012203" w:rsidRPr="00012203" w:rsidRDefault="00012203" w:rsidP="000122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22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  *  *</w:t>
      </w:r>
    </w:p>
    <w:p w:rsidR="00803A9C" w:rsidRDefault="00012203" w:rsidP="000122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proofErr w:type="spellStart"/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Джермакян</w:t>
      </w:r>
      <w:proofErr w:type="spellEnd"/>
      <w:r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В.Ю.</w:t>
      </w:r>
      <w:r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Пробел в российском патентном законодательстве и его толкование судами</w:t>
      </w:r>
      <w:r w:rsidRPr="00012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Pr="00012203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18</w:t>
      </w:r>
      <w:r w:rsidRPr="00803A9C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.</w:t>
      </w:r>
    </w:p>
    <w:p w:rsidR="00012203" w:rsidRPr="00012203" w:rsidRDefault="00012203" w:rsidP="000122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20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На примере оспаривания </w:t>
      </w:r>
      <w:proofErr w:type="gramStart"/>
      <w:r w:rsidRPr="0001220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патента  рассматривает</w:t>
      </w:r>
      <w:r w:rsidRPr="00803A9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ся</w:t>
      </w:r>
      <w:proofErr w:type="gramEnd"/>
      <w:r w:rsidRPr="0001220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возможность внесения изменений не только в формулу, но и в описание изобретения, а также анализирует</w:t>
      </w:r>
      <w:r w:rsidRPr="00803A9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ся</w:t>
      </w:r>
      <w:r w:rsidRPr="0001220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применение Судом по интеллектуальным правам соответствующих норм Договора о патентном праве.</w:t>
      </w:r>
      <w:r w:rsidRPr="0001220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</w:t>
      </w:r>
    </w:p>
    <w:p w:rsidR="00012203" w:rsidRPr="00012203" w:rsidRDefault="00012203" w:rsidP="000122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22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  *  *</w:t>
      </w:r>
    </w:p>
    <w:p w:rsidR="00803A9C" w:rsidRDefault="00012203" w:rsidP="000122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Сергеев</w:t>
      </w:r>
      <w:r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 </w:t>
      </w:r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Н.Ю.</w:t>
      </w:r>
      <w:r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Семь раз отмерь – один раз отрежь</w:t>
      </w:r>
      <w:r w:rsidRPr="00012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Pr="00012203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26</w:t>
      </w:r>
      <w:r w:rsidRPr="00803A9C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.</w:t>
      </w:r>
      <w:r w:rsidRPr="00012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</w:p>
    <w:p w:rsidR="00012203" w:rsidRPr="00012203" w:rsidRDefault="00012203" w:rsidP="000122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20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статье анализируются вопросы, связанные с правовыми рисками правообладателей сходных до степени смешения товарных знаков, зарегистрированных на основании пятого абзаца п. 6 ст. 1483 ГК РФ. </w:t>
      </w:r>
      <w:r w:rsidRPr="00012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012203" w:rsidRPr="00012203" w:rsidRDefault="00012203" w:rsidP="000122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22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  *  *</w:t>
      </w:r>
    </w:p>
    <w:p w:rsidR="00803A9C" w:rsidRDefault="00012203" w:rsidP="005515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Генин</w:t>
      </w:r>
      <w:r w:rsidRPr="00012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Б.Л.</w:t>
      </w:r>
      <w:proofErr w:type="gramEnd"/>
      <w:r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Золкин</w:t>
      </w:r>
      <w:proofErr w:type="spellEnd"/>
      <w:r w:rsidRPr="00012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Д.С.</w:t>
      </w:r>
      <w:r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551595"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Зеленов</w:t>
      </w:r>
      <w:proofErr w:type="spellEnd"/>
      <w:r w:rsidR="00551595"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А.В., </w:t>
      </w:r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патентной статистики по поступившим и поданным заявкам</w:t>
      </w:r>
      <w:r w:rsidRPr="00012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Pr="00012203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30</w:t>
      </w:r>
      <w:r w:rsidR="00551595" w:rsidRPr="00803A9C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.</w:t>
      </w:r>
      <w:r w:rsidRPr="00012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12203" w:rsidRPr="00326FAE" w:rsidRDefault="00551595" w:rsidP="005515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6FA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Авторы </w:t>
      </w:r>
      <w:r w:rsidR="00012203" w:rsidRPr="00326FA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рассматривают особенности известных индикаторов патентной статистики: число заявок на изобретения, определенное по дате их поступления в патентное ведомство и по установленной экспертизой дате их подачи. Анализируется использование этих и некоторых других индикаторов для анализа патентной статистики.</w:t>
      </w:r>
      <w:r w:rsidR="00012203" w:rsidRPr="00326FA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  <w:t xml:space="preserve">Также рассматриваются задачи создаваемой в ФИПС информационно-аналитической системы </w:t>
      </w:r>
      <w:proofErr w:type="spellStart"/>
      <w:r w:rsidR="00012203" w:rsidRPr="00326FA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PatAnalytics</w:t>
      </w:r>
      <w:proofErr w:type="spellEnd"/>
      <w:r w:rsidR="00012203" w:rsidRPr="00326FA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для обеспечения аналитической поддержки разработки и мониторинга национальной стратегии в сфере интеллектуальной собственности. Обсуждаются особенности системы как нового современного инструмента анализа патентной статистики.</w:t>
      </w:r>
      <w:r w:rsidR="00012203" w:rsidRPr="00326FA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="00012203" w:rsidRPr="00326F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</w:t>
      </w:r>
      <w:bookmarkStart w:id="5" w:name="slovo"/>
      <w:bookmarkEnd w:id="5"/>
    </w:p>
    <w:p w:rsidR="00012203" w:rsidRPr="00012203" w:rsidRDefault="00012203" w:rsidP="000122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r w:rsidRPr="00012203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Слово аспирантам и соискателям</w:t>
      </w:r>
    </w:p>
    <w:p w:rsidR="00803A9C" w:rsidRDefault="00551595" w:rsidP="000122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Шахназаров</w:t>
      </w:r>
      <w:r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 </w:t>
      </w:r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Э.А.</w:t>
      </w:r>
      <w:r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012203"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Совершенствование правовой охраны средств индивидуализации, содержащих указание на географическое происхождение товаров</w:t>
      </w:r>
      <w:r w:rsidR="00012203" w:rsidRPr="00012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="00012203" w:rsidRPr="00012203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36</w:t>
      </w:r>
      <w:r w:rsidRPr="00803A9C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.</w:t>
      </w:r>
      <w:r w:rsidR="00012203" w:rsidRPr="00012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</w:p>
    <w:p w:rsidR="00012203" w:rsidRPr="00326FAE" w:rsidRDefault="00012203" w:rsidP="00803A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326FA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статье анализируются ключевые положения Федерального закона от 26 июля 2019 г. № 230-ФЗ, касающиеся разграничения понятий «географическое указание» и «наименование места происхождения товаров», определения их места в системе средств индивидуализации, соотношения с товарным знаком. Выдвинут ряд предложений по дальнейшему совершенствованию российского законодательства.</w:t>
      </w:r>
      <w:r w:rsidRPr="00326FA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326F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</w:t>
      </w:r>
    </w:p>
    <w:p w:rsidR="00012203" w:rsidRPr="00012203" w:rsidRDefault="00012203" w:rsidP="000122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r w:rsidRPr="00012203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Авторское право</w:t>
      </w:r>
    </w:p>
    <w:p w:rsidR="00803A9C" w:rsidRDefault="00551595" w:rsidP="00803A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Балабанов</w:t>
      </w:r>
      <w:r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 </w:t>
      </w:r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Е.В.</w:t>
      </w:r>
      <w:r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012203"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Перспективы корректировки системы допустимых ограничений исключительных прав на объекты авторского права</w:t>
      </w:r>
      <w:r w:rsidR="00012203" w:rsidRPr="00012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="00012203" w:rsidRPr="00012203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49</w:t>
      </w:r>
      <w:r w:rsidRPr="00803A9C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.</w:t>
      </w:r>
    </w:p>
    <w:p w:rsidR="00803A9C" w:rsidRPr="00326FAE" w:rsidRDefault="00012203" w:rsidP="00803A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326FA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>Статья посвящена анализу перспектив корректировки правового регулирования в контексте формирования системы ограничений исключительных прав на объекты авторского права в России.</w:t>
      </w:r>
      <w:r w:rsidRPr="00326F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      </w:t>
      </w:r>
    </w:p>
    <w:p w:rsidR="00012203" w:rsidRPr="00012203" w:rsidRDefault="00012203" w:rsidP="000122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22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  *  *</w:t>
      </w:r>
    </w:p>
    <w:p w:rsidR="00803A9C" w:rsidRDefault="00803A9C" w:rsidP="00803A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Витко</w:t>
      </w:r>
      <w:proofErr w:type="spellEnd"/>
      <w:r w:rsidRPr="00012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В.С.</w:t>
      </w:r>
      <w:proofErr w:type="gramEnd"/>
      <w:r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012203"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понятии «форма произведения» в авторском праве</w:t>
      </w:r>
      <w:r w:rsidR="00012203" w:rsidRPr="00012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="00012203" w:rsidRPr="00012203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56</w:t>
      </w:r>
      <w:r w:rsidRPr="00803A9C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.</w:t>
      </w:r>
      <w:r w:rsidR="00012203" w:rsidRPr="00012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</w:t>
      </w:r>
    </w:p>
    <w:p w:rsidR="00012203" w:rsidRPr="00012203" w:rsidRDefault="00803A9C" w:rsidP="000122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r w:rsidRPr="00326FA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Автор</w:t>
      </w:r>
      <w:r w:rsidR="00012203" w:rsidRPr="00326FA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анализирует существующие в литературе взгляды исследователей на понятие «форма произведения». Основываясь на выделенных правовых признаках, автор формулирует собственное представление о содержании этого понятия и предлагает его определение.</w:t>
      </w:r>
      <w:r w:rsidR="00012203" w:rsidRPr="00326FA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="00012203"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12203" w:rsidRPr="00012203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Управление интеллектуальной собственностью</w:t>
      </w:r>
    </w:p>
    <w:p w:rsidR="00803A9C" w:rsidRDefault="00803A9C" w:rsidP="00803A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Амангельды</w:t>
      </w:r>
      <w:r w:rsidRPr="00012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А.А.</w:t>
      </w:r>
      <w:proofErr w:type="gramEnd"/>
      <w:r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012203"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Договоры в сфере права интеллектуальной собственности по законодательству Республики Казахстан и Российской Федерации</w:t>
      </w:r>
      <w:r w:rsidR="00012203" w:rsidRPr="00012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="00012203" w:rsidRPr="00012203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63</w:t>
      </w:r>
      <w:r w:rsidRPr="00803A9C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.</w:t>
      </w:r>
      <w:r w:rsidR="00012203" w:rsidRPr="00012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</w:t>
      </w:r>
    </w:p>
    <w:p w:rsidR="00326FAE" w:rsidRDefault="00012203" w:rsidP="00326F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326FA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статье рассмотрены особенности подходов законодателей Казахстана и России к договорам в сфере интеллектуальной собственности, а также проанализированы изменения законодательства Республики Казахстан, а именно: закон Республики Казахстан от 20 июня 2018 г. № 161-VI ЗРК «О внесении изменений и дополнений в некоторые законодательные акты Республики Казахстан по вопросам совершенствования законодательства в сфере интеллектуальной собственности».</w:t>
      </w:r>
      <w:r w:rsidRPr="00326FA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bookmarkStart w:id="6" w:name="za_r"/>
      <w:bookmarkEnd w:id="6"/>
    </w:p>
    <w:p w:rsidR="00012203" w:rsidRPr="00012203" w:rsidRDefault="00012203" w:rsidP="00326F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r w:rsidRPr="00012203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За рубежом</w:t>
      </w:r>
    </w:p>
    <w:p w:rsidR="00FD37A4" w:rsidRDefault="00803A9C" w:rsidP="00803A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Лысков</w:t>
      </w:r>
      <w:r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Н.Б.</w:t>
      </w:r>
      <w:r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Поляков</w:t>
      </w:r>
      <w:r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 </w:t>
      </w:r>
      <w:r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А.А.</w:t>
      </w:r>
      <w:r w:rsidRPr="00803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012203" w:rsidRPr="000122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Охрана традиционных знаний в Индии</w:t>
      </w:r>
      <w:r w:rsidR="00012203" w:rsidRPr="00012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="00012203" w:rsidRPr="00012203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с. 74</w:t>
      </w:r>
      <w:r w:rsidRPr="00803A9C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.</w:t>
      </w:r>
      <w:r w:rsidR="00012203" w:rsidRPr="000122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</w:p>
    <w:p w:rsidR="00012203" w:rsidRPr="00CB2C62" w:rsidRDefault="00012203" w:rsidP="00803A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B2C6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статье на примере Индии анализируется необходимость правовой охраны традиционных знаний, разбираются языковые барьеры и сложности при проведении информационного поиска по данному объекту интеллектуальной собственности, а также положительный опыт страны в решении этих проблем. Подробно описывается возможность работы с Цифровой библиотекой традиционных знаний и их включение в минимум РСТ.</w:t>
      </w:r>
      <w:r w:rsidRPr="00CB2C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</w:t>
      </w:r>
    </w:p>
    <w:p w:rsidR="00CB2C62" w:rsidRDefault="00CB2C62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B2C62" w:rsidRDefault="00CB2C62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B2C62" w:rsidRDefault="00CB2C62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B2C62" w:rsidRDefault="00CB2C62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B2C62" w:rsidRDefault="00CB2C62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B2C62" w:rsidRDefault="00CB2C62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B2C62" w:rsidRDefault="00CB2C62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B2C62" w:rsidRDefault="00CB2C62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B2C62" w:rsidRDefault="00CB2C62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B2C62" w:rsidRDefault="00CB2C62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B2C62" w:rsidRDefault="00CB2C62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B2C62" w:rsidRDefault="00CB2C62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5041D" w:rsidRPr="00D5041D" w:rsidRDefault="00D5041D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504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№ 11, 2019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</w:t>
      </w:r>
    </w:p>
    <w:p w:rsidR="00D5041D" w:rsidRDefault="00D5041D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041D" w:rsidRDefault="00D5041D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308100" cy="1962150"/>
            <wp:effectExtent l="0" t="0" r="6350" b="0"/>
            <wp:wrapSquare wrapText="bothSides"/>
            <wp:docPr id="1" name="Рисунок 1" descr="N11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11_20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Срочно в номер</w:t>
      </w:r>
    </w:p>
    <w:p w:rsidR="00D5041D" w:rsidRPr="00D5041D" w:rsidRDefault="00D5041D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041D" w:rsidRDefault="00405362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53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Павлов</w:t>
      </w:r>
      <w:r w:rsidRPr="004053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053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В.П.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5041D"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Обсуждаем пути развития законодательства об интеллектуальной собственности</w:t>
      </w:r>
      <w:r w:rsidR="00D5041D"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с. 2</w:t>
      </w:r>
    </w:p>
    <w:p w:rsidR="00405362" w:rsidRDefault="00D5041D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0536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18–20 сентября 2019 г. в технопарке «Сколково» в рамках конференции «IP Академия» прошла дискуссия по актуальным проблемам правотворчества, судебной практики, предпринимательской и образовательной деятельности в сфере интеллектуальной собственности. </w:t>
      </w:r>
    </w:p>
    <w:p w:rsidR="00405362" w:rsidRDefault="00405362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D5041D" w:rsidRDefault="00D5041D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Авторское право</w:t>
      </w:r>
    </w:p>
    <w:p w:rsidR="00D5041D" w:rsidRPr="00D5041D" w:rsidRDefault="00D5041D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5362" w:rsidRDefault="00405362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Гаврилов</w:t>
      </w:r>
      <w:r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Э.П.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5041D"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Интеллектуальные права: есть над чем поразмыслить</w:t>
      </w:r>
      <w:r w:rsidR="00D5041D"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с. 11</w:t>
      </w:r>
      <w:r w:rsidR="00D5041D"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</w:t>
      </w:r>
    </w:p>
    <w:p w:rsidR="00D5041D" w:rsidRPr="00405362" w:rsidRDefault="00D5041D" w:rsidP="00405362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</w:pPr>
      <w:r w:rsidRPr="0040536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статье</w:t>
      </w:r>
      <w:r w:rsidR="00405362" w:rsidRPr="0040536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40536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рассматриваются некоторые вопросы авторского права и иных интеллектуальных прав, возникающие на практике.</w:t>
      </w:r>
      <w:r w:rsidRPr="0040536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4053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</w:t>
      </w:r>
    </w:p>
    <w:p w:rsidR="00D5041D" w:rsidRDefault="00D5041D" w:rsidP="00405362">
      <w:pPr>
        <w:shd w:val="clear" w:color="auto" w:fill="FFFFFF"/>
        <w:spacing w:after="0" w:line="276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  *  *</w:t>
      </w:r>
    </w:p>
    <w:p w:rsidR="00405362" w:rsidRPr="00D5041D" w:rsidRDefault="00405362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5362" w:rsidRDefault="00405362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Ворожевич</w:t>
      </w:r>
      <w:proofErr w:type="spellEnd"/>
      <w:r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А.С.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5041D"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Границы исключительных прав на объекты авторского права</w:t>
      </w:r>
      <w:r w:rsidR="00D5041D"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с. 21</w:t>
      </w:r>
      <w:r w:rsidR="00D5041D"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</w:t>
      </w:r>
    </w:p>
    <w:p w:rsidR="00D5041D" w:rsidRPr="00D5041D" w:rsidRDefault="00405362" w:rsidP="00405362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40536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 статье </w:t>
      </w:r>
      <w:r w:rsidR="00D5041D" w:rsidRPr="0040536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рассматривает</w:t>
      </w:r>
      <w:r w:rsidRPr="0040536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ся </w:t>
      </w:r>
      <w:r w:rsidR="00D5041D" w:rsidRPr="0040536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сущность и назначение территориальных, временных, содержательных и объективных границ произведения, анализирует проблемы, связанные с их установлением.</w:t>
      </w:r>
      <w:r w:rsidR="00D5041D" w:rsidRPr="0040536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="00D5041D" w:rsidRPr="00D5041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</w:t>
      </w:r>
    </w:p>
    <w:p w:rsidR="00D5041D" w:rsidRDefault="00D5041D" w:rsidP="00405362">
      <w:pPr>
        <w:shd w:val="clear" w:color="auto" w:fill="FFFFFF"/>
        <w:spacing w:after="0" w:line="276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  *  *</w:t>
      </w:r>
    </w:p>
    <w:p w:rsidR="00405362" w:rsidRPr="00D5041D" w:rsidRDefault="00405362" w:rsidP="00405362">
      <w:pPr>
        <w:shd w:val="clear" w:color="auto" w:fill="FFFFFF"/>
        <w:spacing w:after="0" w:line="276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5362" w:rsidRDefault="00405362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Мальцев</w:t>
      </w:r>
      <w:r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Н.М.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5041D"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Право на вознаграждение композитора: в поисках места в системе интеллектуальных прав</w:t>
      </w:r>
      <w:r w:rsidR="00D5041D"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с. 35</w:t>
      </w:r>
    </w:p>
    <w:p w:rsidR="00D5041D" w:rsidRPr="00D5041D" w:rsidRDefault="00405362" w:rsidP="00405362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5041D" w:rsidRPr="0040536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статье</w:t>
      </w:r>
      <w:r w:rsidRPr="0040536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D5041D" w:rsidRPr="0040536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исследуются основные положения, касающиеся особого права на вознаграждение композитора за использование его музыкального произведения в аудиовизуальном произведении. Анализируется действующая судебная практика, приводятся аргументы за и против рассмотрения указанного права как части исключительного права либо иного, самостоятельного права.</w:t>
      </w:r>
      <w:r w:rsidR="00D5041D" w:rsidRPr="0040536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</w:p>
    <w:p w:rsidR="003F22FF" w:rsidRDefault="003F22FF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041D" w:rsidRDefault="00D5041D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Охрана интеллектуальной собственности</w:t>
      </w:r>
    </w:p>
    <w:p w:rsidR="00405362" w:rsidRPr="00D5041D" w:rsidRDefault="00405362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5362" w:rsidRDefault="00405362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Джермакян</w:t>
      </w:r>
      <w:proofErr w:type="spellEnd"/>
      <w:r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В.Ю.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5041D"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Толкование формулы изобретения в целях выявления общей изобретательской идеи</w:t>
      </w:r>
      <w:r w:rsidR="00D5041D"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с. 46</w:t>
      </w:r>
    </w:p>
    <w:p w:rsidR="00D5041D" w:rsidRPr="003F22FF" w:rsidRDefault="00D5041D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="00405362" w:rsidRPr="003F22F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Автор </w:t>
      </w:r>
      <w:r w:rsidRPr="003F22F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комментирует весьма интересное дело Суда по интеллектуальным правам, в котором рассматривалось заявление о признании недействительным решения Роспатента от 20 августа 2018 г., принятого по результатам рассмотрения в Палате по патентным спорам возражения от 31 января 2018 г. против действия на территории Российской Федерации евразийского патента № 4302 на группу изобретений «В-</w:t>
      </w:r>
      <w:proofErr w:type="spellStart"/>
      <w:r w:rsidRPr="003F22F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карболиновые</w:t>
      </w:r>
      <w:proofErr w:type="spellEnd"/>
      <w:r w:rsidRPr="003F22F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лекарственные продукты», выданного по заявке EA № 200200119 на имя иностранного лица, частично сохранившего патент после рассмотрения возражения.</w:t>
      </w:r>
      <w:r w:rsidRPr="003F22F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3F22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</w:t>
      </w:r>
    </w:p>
    <w:p w:rsidR="003F22FF" w:rsidRDefault="003F22FF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041D" w:rsidRDefault="00D5041D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Управление интеллектуальной собственностью</w:t>
      </w:r>
    </w:p>
    <w:p w:rsidR="003F22FF" w:rsidRPr="00D5041D" w:rsidRDefault="003F22FF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22FF" w:rsidRDefault="003F22FF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Иванов</w:t>
      </w:r>
      <w:r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Н.В.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5041D"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Защита прав лицензиара и исключительного лицензиата при неправомерном использовании объекта лицензионного договора</w:t>
      </w:r>
      <w:r w:rsidR="00D5041D"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с. 54</w:t>
      </w:r>
      <w:r w:rsidR="00D5041D"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</w:t>
      </w:r>
    </w:p>
    <w:p w:rsidR="003F22FF" w:rsidRPr="003F22FF" w:rsidRDefault="00D5041D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3F22F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статье</w:t>
      </w:r>
      <w:r w:rsidR="003F22FF" w:rsidRPr="003F22F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3F22F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исследуются правоотношения, возникающие в связи с нарушением прав правообладателя (лицензиара) и исключительного лицензиата, который в силу прямого указания ст. 1254 ГК пользуется в отношении нарушителей способами защиты, доступными обладателю исключительного права.</w:t>
      </w:r>
      <w:r w:rsidRPr="003F22F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3F22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</w:t>
      </w:r>
    </w:p>
    <w:p w:rsidR="00D5041D" w:rsidRDefault="00D5041D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Слово аспирантам и соискателям</w:t>
      </w:r>
    </w:p>
    <w:p w:rsidR="003F22FF" w:rsidRPr="00D5041D" w:rsidRDefault="003F22FF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22FF" w:rsidRDefault="003F22FF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Алексейцев</w:t>
      </w:r>
      <w:proofErr w:type="spellEnd"/>
      <w:r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А.В.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5041D"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Практика оформления прав на служебные объекты патентного права</w:t>
      </w:r>
      <w:r w:rsidR="00D5041D"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с. 65</w:t>
      </w:r>
    </w:p>
    <w:p w:rsidR="003F22FF" w:rsidRPr="003F22FF" w:rsidRDefault="00D5041D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F22F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статье</w:t>
      </w:r>
      <w:r w:rsidR="003F22FF" w:rsidRPr="003F22F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3F22F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анализируются нормы действующего законодательства о служебных результатах интеллектуальной деятельности и их практическое применение, ошибки субъектов правоотношений, как работников, так и работодателей, которые приводят к проблемам правового характера, и возможные пути их предотвращения.</w:t>
      </w:r>
    </w:p>
    <w:p w:rsidR="00D5041D" w:rsidRDefault="00D5041D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7" w:name="sotr"/>
      <w:bookmarkEnd w:id="7"/>
      <w:r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Сотрудничество</w:t>
      </w:r>
    </w:p>
    <w:p w:rsidR="003F22FF" w:rsidRPr="00D5041D" w:rsidRDefault="003F22FF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22FF" w:rsidRDefault="003F22FF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Молотов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А.З.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5041D"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языку документов и порядку их предоставления в патентные ведомства стран СНГ</w:t>
      </w:r>
      <w:r w:rsidR="00D5041D"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с. 70</w:t>
      </w:r>
      <w:r w:rsidR="00D5041D"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</w:t>
      </w:r>
    </w:p>
    <w:p w:rsidR="003F22FF" w:rsidRPr="003F22FF" w:rsidRDefault="00D5041D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F22F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статье освещены наиболее общие языковые требования к подаче документов в национальные патентные ведомства для регистрации товарных знаков, патентов и лицензионных соглашений в странах СНГ.</w:t>
      </w:r>
      <w:r w:rsidRPr="003F22F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3F22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</w:t>
      </w:r>
    </w:p>
    <w:p w:rsidR="00D5041D" w:rsidRPr="00D5041D" w:rsidRDefault="00D5041D" w:rsidP="003F22FF">
      <w:pPr>
        <w:shd w:val="clear" w:color="auto" w:fill="FFFFFF"/>
        <w:spacing w:after="0" w:line="276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  *  *</w:t>
      </w:r>
    </w:p>
    <w:p w:rsidR="003F22FF" w:rsidRDefault="003F22FF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22FF" w:rsidRDefault="003F22FF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22FF" w:rsidRDefault="003F22FF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22FF" w:rsidRDefault="003F22FF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041D" w:rsidRDefault="00D5041D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0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3F22FF" w:rsidRPr="00D5041D" w:rsidRDefault="003F22FF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041D" w:rsidRDefault="00D5041D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Российской Федерации от 17 июня 2019 г. № 148ФЗ «О внесении изменений в Федеральный закон «О лицензировании отдельных видов деятельности» – с. 78</w:t>
      </w:r>
    </w:p>
    <w:p w:rsidR="003F22FF" w:rsidRDefault="003F22FF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22FF" w:rsidRPr="00D5041D" w:rsidRDefault="003F22FF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504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№ 1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r w:rsidRPr="00D504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2019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</w:t>
      </w:r>
    </w:p>
    <w:p w:rsidR="003F22FF" w:rsidRDefault="003F22FF" w:rsidP="00D5041D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3F22FF" w:rsidRPr="003F22FF" w:rsidRDefault="003F22FF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76350" cy="1914525"/>
            <wp:effectExtent l="0" t="0" r="0" b="9525"/>
            <wp:wrapSquare wrapText="bothSides"/>
            <wp:docPr id="2" name="Рисунок 2" descr="N12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12_20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Управление интеллектуальной собственностью</w:t>
      </w:r>
    </w:p>
    <w:p w:rsidR="003F22FF" w:rsidRDefault="003F22FF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22FF" w:rsidRDefault="003F22FF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Мухопад</w:t>
      </w:r>
      <w:proofErr w:type="spellEnd"/>
      <w:r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В.И.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Интеллектуальная собственность как управляемая система в экономике и ее синергетика</w:t>
      </w:r>
      <w:r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с. 2</w:t>
      </w:r>
    </w:p>
    <w:p w:rsidR="003F22FF" w:rsidRPr="00A626C3" w:rsidRDefault="003F22FF" w:rsidP="00A626C3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</w:pPr>
      <w:r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626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отличие от традиционных подходов к интеллектуальной собственности</w:t>
      </w:r>
      <w:r w:rsidR="00A626C3" w:rsidRPr="00A626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A626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как к категории права</w:t>
      </w:r>
      <w:r w:rsidR="00A626C3" w:rsidRPr="00A626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автор статьи </w:t>
      </w:r>
      <w:r w:rsidRPr="00A626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рассматривает ее сущность в качестве открытой, сложной и динамично развивающейся системы, закономерно сложившейся на определенном этапе развития мировой экономики. Выполненный автором анализ статистических данных международных организаций, включая Всемирный банк, ВТО, ВОИС, отчеты ведущих стран, свидетельствует о диспропорциях в развитии отдельных институтов управления интеллектуальной собственностью, которые не позволяют в полной мере использовать заложенный в интеллектуальной собственности научно-технический и социально-экономический потенциал, получать синергетический эффект от взаимодействия ее институтов. По результатам исследования сделаны выводы и даны рекомендации в области синергетики интеллектуальной собственности. </w:t>
      </w:r>
      <w:r w:rsidRPr="00A626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626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</w:t>
      </w:r>
    </w:p>
    <w:p w:rsidR="003F22FF" w:rsidRPr="003F22FF" w:rsidRDefault="003F22FF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22FF" w:rsidRDefault="003F22FF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Авторское право</w:t>
      </w:r>
    </w:p>
    <w:p w:rsidR="00A626C3" w:rsidRPr="003F22FF" w:rsidRDefault="00A626C3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26C3" w:rsidRDefault="00A626C3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Павлов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Е.А.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F22FF"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Договоры с участием авторов произведений</w:t>
      </w:r>
      <w:r w:rsidR="003F22FF"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с. 16</w:t>
      </w:r>
    </w:p>
    <w:p w:rsidR="00A626C3" w:rsidRPr="00A626C3" w:rsidRDefault="003F22FF" w:rsidP="00A626C3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</w:pPr>
      <w:r w:rsidRPr="00A626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  <w:t>В статье</w:t>
      </w:r>
      <w:r w:rsidR="00A626C3" w:rsidRPr="00A626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A626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рассматриваются особенности договоров, в которых участвуют авторы произведений, в том числе договоров авторского заказа, обсуждаются некоторые положения постановления пленума Верховного суда Российской Федерации от 23 апреля 2019 г. № 10 «О применении части четвертой Гражданского кодекса Российской Федерации».</w:t>
      </w:r>
      <w:r w:rsidRPr="00A626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</w:p>
    <w:p w:rsidR="003F22FF" w:rsidRDefault="003F22FF" w:rsidP="00A626C3">
      <w:pPr>
        <w:shd w:val="clear" w:color="auto" w:fill="FFFFFF"/>
        <w:spacing w:after="0" w:line="276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  *  *</w:t>
      </w:r>
    </w:p>
    <w:p w:rsidR="00A626C3" w:rsidRPr="003F22FF" w:rsidRDefault="00A626C3" w:rsidP="00A626C3">
      <w:pPr>
        <w:shd w:val="clear" w:color="auto" w:fill="FFFFFF"/>
        <w:spacing w:after="0" w:line="276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26C3" w:rsidRDefault="00A626C3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Донников</w:t>
      </w:r>
      <w:r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Ю.Е.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F22FF"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Интеллектуальные права на базы данных: ограничения и изъятия из них</w:t>
      </w:r>
      <w:r w:rsidR="003F22FF"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с. 26</w:t>
      </w:r>
      <w:r w:rsidR="003F22FF"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626C3" w:rsidRDefault="003F22FF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626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статье</w:t>
      </w:r>
      <w:r w:rsidR="00A626C3" w:rsidRPr="00A626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A626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анализируется институт ограничений и изъятий из интеллектуальных прав на базы данных, обосновывается достаточность уже </w:t>
      </w:r>
      <w:r w:rsidRPr="00A626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 xml:space="preserve">существующих ограничений и изъятий для обеспечения баланса интересов правообладателей, общества, развития инноваций. </w:t>
      </w:r>
    </w:p>
    <w:p w:rsidR="003F22FF" w:rsidRDefault="003F22FF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626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Охрана интеллектуальной собственности</w:t>
      </w:r>
    </w:p>
    <w:p w:rsidR="00A626C3" w:rsidRPr="003F22FF" w:rsidRDefault="00A626C3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26C3" w:rsidRDefault="00A626C3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Сесицкий</w:t>
      </w:r>
      <w:proofErr w:type="spellEnd"/>
      <w:r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Е.П.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F22FF"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Трансформация понятия «творчество»: общефилософский и правовой аспекты</w:t>
      </w:r>
      <w:r w:rsidR="003F22FF"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с. 34</w:t>
      </w:r>
    </w:p>
    <w:p w:rsidR="003F22FF" w:rsidRPr="00A626C3" w:rsidRDefault="003F22FF" w:rsidP="00A626C3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626C3" w:rsidRPr="00A626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Автор </w:t>
      </w:r>
      <w:r w:rsidRPr="00A626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рассматривает развитие подходов к пониманию творческой деятельности в </w:t>
      </w:r>
      <w:proofErr w:type="spellStart"/>
      <w:r w:rsidRPr="00A626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цивилистической</w:t>
      </w:r>
      <w:proofErr w:type="spellEnd"/>
      <w:r w:rsidRPr="00A626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доктрине и законодательстве в сфере интеллектуальной собственности.</w:t>
      </w:r>
      <w:r w:rsidRPr="00A626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A626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</w:t>
      </w:r>
    </w:p>
    <w:p w:rsidR="003F22FF" w:rsidRPr="003F22FF" w:rsidRDefault="003F22FF" w:rsidP="00A626C3">
      <w:pPr>
        <w:shd w:val="clear" w:color="auto" w:fill="FFFFFF"/>
        <w:spacing w:after="0" w:line="276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  *  *</w:t>
      </w:r>
    </w:p>
    <w:p w:rsidR="00A626C3" w:rsidRDefault="00A626C3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Кастальск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ий</w:t>
      </w:r>
      <w:r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В.Н.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F22FF"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Качество изобретения</w:t>
      </w:r>
      <w:r w:rsidR="003F22FF"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с. 44</w:t>
      </w:r>
    </w:p>
    <w:p w:rsidR="00A626C3" w:rsidRPr="00A626C3" w:rsidRDefault="00A626C3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F22FF" w:rsidRPr="00A626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статье</w:t>
      </w:r>
      <w:r w:rsidRPr="00A626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3F22FF" w:rsidRPr="00A626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рассматриваются теоретические и практические вопросы, связанные с качеством изобретений.</w:t>
      </w:r>
      <w:r w:rsidR="003F22FF" w:rsidRPr="00A626C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="003F22FF" w:rsidRPr="00A626C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</w:t>
      </w:r>
    </w:p>
    <w:p w:rsidR="003F22FF" w:rsidRDefault="003F22FF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Инновации и экономика</w:t>
      </w:r>
    </w:p>
    <w:p w:rsidR="00A626C3" w:rsidRPr="003F22FF" w:rsidRDefault="00A626C3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26C3" w:rsidRDefault="00A626C3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Цукерблата</w:t>
      </w:r>
      <w:proofErr w:type="spellEnd"/>
      <w:r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Д.М.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F22FF"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сдерживает развитие региональной инновационной системы?</w:t>
      </w:r>
      <w:r w:rsidR="003F22FF"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с. 53</w:t>
      </w:r>
    </w:p>
    <w:p w:rsidR="007C1A28" w:rsidRPr="007C1A28" w:rsidRDefault="003F22FF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C1A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статье</w:t>
      </w:r>
      <w:r w:rsidR="007C1A28" w:rsidRPr="007C1A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7C1A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рассматривается состояние инновационной деятельности в регионе. Определяются векторы инновационного развития предпринимательского сектора и поиск возможных решений. Предлагаются пути взаимодействия науки и промышленности. Сделан вывод о роли высокотехнологичного бизнеса в Сибири. Отмечена необходимость капитализации знаний и коммерциализации идей.</w:t>
      </w:r>
      <w:r w:rsidRPr="007C1A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7C1A2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</w:t>
      </w:r>
    </w:p>
    <w:p w:rsidR="003F22FF" w:rsidRDefault="003F22FF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Сотрудничество</w:t>
      </w:r>
    </w:p>
    <w:p w:rsidR="007C1A28" w:rsidRPr="003F22FF" w:rsidRDefault="007C1A28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1A28" w:rsidRDefault="003F22FF" w:rsidP="007C1A28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Мировые показатели деятельности в области интеллектуальной собственности в 2018 г.</w:t>
      </w:r>
      <w:r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с. 62</w:t>
      </w:r>
      <w:r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F22FF" w:rsidRPr="007C1A28" w:rsidRDefault="003F22FF" w:rsidP="007C1A28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7C1A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Подготовленный на основе пресс-релиза ВОИС материал отражает увеличение спроса на охрану прав интеллектуальной собственности.</w:t>
      </w:r>
      <w:r w:rsidRPr="007C1A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</w:r>
      <w:r w:rsidRPr="007C1A2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</w:t>
      </w:r>
    </w:p>
    <w:p w:rsidR="003F22FF" w:rsidRDefault="003F22FF" w:rsidP="007C1A28">
      <w:pPr>
        <w:shd w:val="clear" w:color="auto" w:fill="FFFFFF"/>
        <w:spacing w:after="0" w:line="276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  *  *</w:t>
      </w:r>
    </w:p>
    <w:p w:rsidR="007C1A28" w:rsidRPr="003F22FF" w:rsidRDefault="007C1A28" w:rsidP="007C1A28">
      <w:pPr>
        <w:shd w:val="clear" w:color="auto" w:fill="FFFFFF"/>
        <w:spacing w:after="0" w:line="276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1A28" w:rsidRDefault="007C1A28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Еременко</w:t>
      </w:r>
      <w:r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В.И.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F22FF"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Нововведения в таможенном законодательстве в сфере интеллектуальной собственности</w:t>
      </w:r>
      <w:r w:rsidR="003F22FF"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с. 65</w:t>
      </w:r>
    </w:p>
    <w:p w:rsidR="007C1A28" w:rsidRPr="007C1A28" w:rsidRDefault="003F22FF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C1A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Статья</w:t>
      </w:r>
      <w:r w:rsidR="007C1A28" w:rsidRPr="007C1A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7C1A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содержит анализ положений нового федерального закона о таможенном регулировании, относящихся к защите прав на объекты интеллектуальной собственности</w:t>
      </w:r>
      <w:r w:rsidR="007C1A28" w:rsidRPr="007C1A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3F22FF" w:rsidRPr="007C1A28" w:rsidRDefault="003F22FF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.</w:t>
      </w:r>
      <w:r w:rsidRPr="003F2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F22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3F22FF" w:rsidRDefault="003F22FF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F22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Приложение</w:t>
      </w:r>
    </w:p>
    <w:p w:rsidR="007C1A28" w:rsidRPr="003F22FF" w:rsidRDefault="007C1A28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1A28" w:rsidRDefault="003F22FF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C1A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Федеральный закон РФ от 4 ноября 2019 г. № 352ФЗ «О распространении на Всемирную организацию интеллектуальной собственности (ВОИС) положений Конвенции о привилегиях и иммунитетах специализированных учреждений» – с. 73</w:t>
      </w:r>
    </w:p>
    <w:p w:rsidR="007C1A28" w:rsidRDefault="007C1A28" w:rsidP="003F22FF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C1A28" w:rsidRDefault="007C1A28" w:rsidP="007C1A28">
      <w:pPr>
        <w:shd w:val="clear" w:color="auto" w:fill="FFFFFF"/>
        <w:spacing w:after="0" w:line="276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 *  *</w:t>
      </w:r>
    </w:p>
    <w:p w:rsidR="003F22FF" w:rsidRPr="007C1A28" w:rsidRDefault="003F22FF" w:rsidP="007C1A28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C1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C1A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Указатель материалов, опубликованных в журнале «Патенты и лицензии. Интеллектуальные права» в 2019 г. – с. 73</w:t>
      </w:r>
      <w:bookmarkStart w:id="8" w:name="_GoBack"/>
      <w:bookmarkEnd w:id="8"/>
    </w:p>
    <w:p w:rsidR="003F22FF" w:rsidRPr="007C1A28" w:rsidRDefault="003F22FF" w:rsidP="007C1A28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5041D" w:rsidRPr="007C1A28" w:rsidRDefault="00D5041D" w:rsidP="007C1A28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sectPr w:rsidR="00D5041D" w:rsidRPr="007C1A28" w:rsidSect="00DA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A"/>
    <w:multiLevelType w:val="multilevel"/>
    <w:tmpl w:val="D61A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37211"/>
    <w:multiLevelType w:val="multilevel"/>
    <w:tmpl w:val="951A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27ACB"/>
    <w:multiLevelType w:val="multilevel"/>
    <w:tmpl w:val="0B68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64EDC"/>
    <w:multiLevelType w:val="multilevel"/>
    <w:tmpl w:val="3344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B6BEA"/>
    <w:multiLevelType w:val="multilevel"/>
    <w:tmpl w:val="608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54A74"/>
    <w:multiLevelType w:val="multilevel"/>
    <w:tmpl w:val="23E2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11038"/>
    <w:multiLevelType w:val="multilevel"/>
    <w:tmpl w:val="DD5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A632D"/>
    <w:multiLevelType w:val="multilevel"/>
    <w:tmpl w:val="FF16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E2BC7"/>
    <w:multiLevelType w:val="multilevel"/>
    <w:tmpl w:val="6B02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E16BD"/>
    <w:multiLevelType w:val="multilevel"/>
    <w:tmpl w:val="1F98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D5F04"/>
    <w:multiLevelType w:val="multilevel"/>
    <w:tmpl w:val="D1E4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505A6"/>
    <w:multiLevelType w:val="multilevel"/>
    <w:tmpl w:val="D91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6D182D"/>
    <w:multiLevelType w:val="multilevel"/>
    <w:tmpl w:val="35F8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63F70"/>
    <w:multiLevelType w:val="multilevel"/>
    <w:tmpl w:val="D7A0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6B7877"/>
    <w:multiLevelType w:val="multilevel"/>
    <w:tmpl w:val="9D40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AB111A"/>
    <w:multiLevelType w:val="multilevel"/>
    <w:tmpl w:val="7E0C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5E4017"/>
    <w:multiLevelType w:val="multilevel"/>
    <w:tmpl w:val="CDA8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8A5C39"/>
    <w:multiLevelType w:val="multilevel"/>
    <w:tmpl w:val="7D9E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F544B7"/>
    <w:multiLevelType w:val="multilevel"/>
    <w:tmpl w:val="EC12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046753"/>
    <w:multiLevelType w:val="multilevel"/>
    <w:tmpl w:val="4CF0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F04955"/>
    <w:multiLevelType w:val="multilevel"/>
    <w:tmpl w:val="16DE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022A5D"/>
    <w:multiLevelType w:val="multilevel"/>
    <w:tmpl w:val="CCE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77A12"/>
    <w:multiLevelType w:val="multilevel"/>
    <w:tmpl w:val="B918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C14ECD"/>
    <w:multiLevelType w:val="multilevel"/>
    <w:tmpl w:val="B7AC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4B502A"/>
    <w:multiLevelType w:val="multilevel"/>
    <w:tmpl w:val="32A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12"/>
  </w:num>
  <w:num w:numId="8">
    <w:abstractNumId w:val="20"/>
  </w:num>
  <w:num w:numId="9">
    <w:abstractNumId w:val="13"/>
  </w:num>
  <w:num w:numId="10">
    <w:abstractNumId w:val="14"/>
  </w:num>
  <w:num w:numId="11">
    <w:abstractNumId w:val="5"/>
  </w:num>
  <w:num w:numId="12">
    <w:abstractNumId w:val="0"/>
  </w:num>
  <w:num w:numId="13">
    <w:abstractNumId w:val="8"/>
  </w:num>
  <w:num w:numId="14">
    <w:abstractNumId w:val="22"/>
  </w:num>
  <w:num w:numId="15">
    <w:abstractNumId w:val="7"/>
  </w:num>
  <w:num w:numId="16">
    <w:abstractNumId w:val="19"/>
  </w:num>
  <w:num w:numId="17">
    <w:abstractNumId w:val="21"/>
  </w:num>
  <w:num w:numId="18">
    <w:abstractNumId w:val="18"/>
  </w:num>
  <w:num w:numId="19">
    <w:abstractNumId w:val="3"/>
  </w:num>
  <w:num w:numId="20">
    <w:abstractNumId w:val="6"/>
  </w:num>
  <w:num w:numId="21">
    <w:abstractNumId w:val="16"/>
  </w:num>
  <w:num w:numId="22">
    <w:abstractNumId w:val="23"/>
  </w:num>
  <w:num w:numId="23">
    <w:abstractNumId w:val="15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A6"/>
    <w:rsid w:val="00012203"/>
    <w:rsid w:val="000409E4"/>
    <w:rsid w:val="0007777D"/>
    <w:rsid w:val="000C20BE"/>
    <w:rsid w:val="00124791"/>
    <w:rsid w:val="0027667F"/>
    <w:rsid w:val="00315639"/>
    <w:rsid w:val="00326FAE"/>
    <w:rsid w:val="00334D30"/>
    <w:rsid w:val="00335E14"/>
    <w:rsid w:val="0038233A"/>
    <w:rsid w:val="003F22FF"/>
    <w:rsid w:val="00405362"/>
    <w:rsid w:val="0048017A"/>
    <w:rsid w:val="00541D55"/>
    <w:rsid w:val="00551595"/>
    <w:rsid w:val="005A784F"/>
    <w:rsid w:val="005F7E8B"/>
    <w:rsid w:val="00607CC9"/>
    <w:rsid w:val="0064596B"/>
    <w:rsid w:val="006C700F"/>
    <w:rsid w:val="00705C26"/>
    <w:rsid w:val="007172FA"/>
    <w:rsid w:val="007352AF"/>
    <w:rsid w:val="00736FC9"/>
    <w:rsid w:val="00774A49"/>
    <w:rsid w:val="007C1A28"/>
    <w:rsid w:val="007C461B"/>
    <w:rsid w:val="00803A9C"/>
    <w:rsid w:val="00824D48"/>
    <w:rsid w:val="008B43A0"/>
    <w:rsid w:val="008D4C54"/>
    <w:rsid w:val="00925F52"/>
    <w:rsid w:val="009955E4"/>
    <w:rsid w:val="009B6226"/>
    <w:rsid w:val="00A626C3"/>
    <w:rsid w:val="00AA5BAC"/>
    <w:rsid w:val="00AB29A3"/>
    <w:rsid w:val="00C00E6C"/>
    <w:rsid w:val="00C249DC"/>
    <w:rsid w:val="00C259F5"/>
    <w:rsid w:val="00C36011"/>
    <w:rsid w:val="00CB2C62"/>
    <w:rsid w:val="00CD05CF"/>
    <w:rsid w:val="00D5041D"/>
    <w:rsid w:val="00D50F01"/>
    <w:rsid w:val="00DA7923"/>
    <w:rsid w:val="00DD39F1"/>
    <w:rsid w:val="00E018D8"/>
    <w:rsid w:val="00E0660E"/>
    <w:rsid w:val="00E94F6C"/>
    <w:rsid w:val="00EB61A6"/>
    <w:rsid w:val="00ED02AC"/>
    <w:rsid w:val="00EE685E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C8956-9AA3-4205-8394-D2D54C9F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CC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50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62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5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4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97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4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4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77711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65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269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5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91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163365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2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62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8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66304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43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33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67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2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3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62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2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2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5856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2641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0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4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15225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52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5791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3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4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583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3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432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0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20174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8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01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13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0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5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55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252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8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97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57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845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3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50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96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2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41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4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8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4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7464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6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77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1180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4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24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804698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8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81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1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4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58696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08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2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1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94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24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6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0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32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9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14190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2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86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304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0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2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8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3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0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1402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07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70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41591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97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2581680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9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55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7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5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50570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25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6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35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94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037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47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21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9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091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55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7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26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0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8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6279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49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24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43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02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8326661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1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65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7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4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25948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33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7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924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0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1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74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213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2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8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09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286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8DC5-E683-4DD5-9625-C4D2C2C9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Любовь Арсентьевна</dc:creator>
  <cp:keywords/>
  <dc:description/>
  <cp:lastModifiedBy>Дмитриева Любовь Арсентьевна</cp:lastModifiedBy>
  <cp:revision>2</cp:revision>
  <dcterms:created xsi:type="dcterms:W3CDTF">2020-03-17T05:13:00Z</dcterms:created>
  <dcterms:modified xsi:type="dcterms:W3CDTF">2020-03-17T05:13:00Z</dcterms:modified>
</cp:coreProperties>
</file>